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CFD0" w14:textId="77777777" w:rsidR="009329EA" w:rsidRDefault="009329EA" w:rsidP="00C84689">
      <w:pPr>
        <w:pStyle w:val="NormalWeb"/>
        <w:shd w:val="clear" w:color="auto" w:fill="FFFFFF"/>
        <w:rPr>
          <w:rFonts w:ascii="Tahoma" w:hAnsi="Tahoma" w:cs="Tahoma"/>
          <w:lang w:val="pt-BR"/>
        </w:rPr>
      </w:pPr>
    </w:p>
    <w:p w14:paraId="0D5674C0" w14:textId="43445BE9" w:rsidR="00C84689" w:rsidRDefault="00C84689" w:rsidP="00C84689">
      <w:pPr>
        <w:pStyle w:val="NormalWeb"/>
        <w:shd w:val="clear" w:color="auto" w:fill="FFFFFF"/>
        <w:rPr>
          <w:rFonts w:ascii="Tahoma" w:hAnsi="Tahoma" w:cs="Tahoma"/>
          <w:lang w:val="pt-BR"/>
        </w:rPr>
      </w:pPr>
      <w:r w:rsidRPr="00AB27E7">
        <w:rPr>
          <w:rFonts w:ascii="Tahoma" w:hAnsi="Tahoma" w:cs="Tahoma"/>
          <w:lang w:val="pt-BR"/>
        </w:rPr>
        <w:t>CONSULTA PÚBLICA N</w:t>
      </w:r>
      <w:r w:rsidRPr="009329EA">
        <w:rPr>
          <w:rFonts w:ascii="Tahoma" w:hAnsi="Tahoma" w:cs="Tahoma"/>
          <w:vertAlign w:val="superscript"/>
          <w:lang w:val="pt-BR"/>
        </w:rPr>
        <w:t>o</w:t>
      </w:r>
      <w:r w:rsidRPr="00AB27E7">
        <w:rPr>
          <w:rFonts w:ascii="Tahoma" w:hAnsi="Tahoma" w:cs="Tahoma"/>
          <w:lang w:val="pt-BR"/>
        </w:rPr>
        <w:t xml:space="preserve"> 14 </w:t>
      </w:r>
    </w:p>
    <w:p w14:paraId="1D2A774F" w14:textId="2CD30F49" w:rsidR="00C84689" w:rsidRDefault="00C84689" w:rsidP="00C84689">
      <w:pPr>
        <w:pStyle w:val="NormalWeb"/>
        <w:shd w:val="clear" w:color="auto" w:fill="FFFFFF"/>
        <w:rPr>
          <w:rFonts w:ascii="Tahoma" w:hAnsi="Tahoma" w:cs="Tahoma"/>
          <w:lang w:val="pt-BR"/>
        </w:rPr>
      </w:pPr>
      <w:r w:rsidRPr="000C611B">
        <w:rPr>
          <w:rFonts w:ascii="Tahoma" w:hAnsi="Tahoma" w:cs="Tahoma"/>
          <w:lang w:val="pt-BR"/>
        </w:rPr>
        <w:t xml:space="preserve">Art. 3o </w:t>
      </w:r>
      <w:r>
        <w:rPr>
          <w:rFonts w:ascii="Tahoma" w:hAnsi="Tahoma" w:cs="Tahoma"/>
          <w:lang w:val="pt-BR"/>
        </w:rPr>
        <w:t xml:space="preserve">- </w:t>
      </w:r>
      <w:r w:rsidRPr="000C611B">
        <w:rPr>
          <w:rFonts w:ascii="Tahoma" w:hAnsi="Tahoma" w:cs="Tahoma"/>
          <w:lang w:val="pt-BR"/>
        </w:rPr>
        <w:t xml:space="preserve">Na faixa de 1437,75 MHz a 1452 MHz e 1503,25 MHz a 1517 MHz é admitido o uso de sistemas digitais do </w:t>
      </w:r>
      <w:proofErr w:type="spellStart"/>
      <w:r w:rsidRPr="000C611B">
        <w:rPr>
          <w:rFonts w:ascii="Tahoma" w:hAnsi="Tahoma" w:cs="Tahoma"/>
          <w:lang w:val="pt-BR"/>
        </w:rPr>
        <w:t>serviço</w:t>
      </w:r>
      <w:proofErr w:type="spellEnd"/>
      <w:r w:rsidRPr="000C611B">
        <w:rPr>
          <w:rFonts w:ascii="Tahoma" w:hAnsi="Tahoma" w:cs="Tahoma"/>
          <w:lang w:val="pt-BR"/>
        </w:rPr>
        <w:t xml:space="preserve"> fixo em </w:t>
      </w:r>
      <w:proofErr w:type="spellStart"/>
      <w:r w:rsidRPr="000C611B">
        <w:rPr>
          <w:rFonts w:ascii="Tahoma" w:hAnsi="Tahoma" w:cs="Tahoma"/>
          <w:lang w:val="pt-BR"/>
        </w:rPr>
        <w:t>aplicações</w:t>
      </w:r>
      <w:proofErr w:type="spellEnd"/>
      <w:r w:rsidRPr="000C611B">
        <w:rPr>
          <w:rFonts w:ascii="Tahoma" w:hAnsi="Tahoma" w:cs="Tahoma"/>
          <w:lang w:val="pt-BR"/>
        </w:rPr>
        <w:t xml:space="preserve"> ponto-a-ponto, em </w:t>
      </w:r>
      <w:proofErr w:type="spellStart"/>
      <w:r w:rsidRPr="000C611B">
        <w:rPr>
          <w:rFonts w:ascii="Tahoma" w:hAnsi="Tahoma" w:cs="Tahoma"/>
          <w:lang w:val="pt-BR"/>
        </w:rPr>
        <w:t>municípios</w:t>
      </w:r>
      <w:proofErr w:type="spellEnd"/>
      <w:r w:rsidRPr="000C611B">
        <w:rPr>
          <w:rFonts w:ascii="Tahoma" w:hAnsi="Tahoma" w:cs="Tahoma"/>
          <w:lang w:val="pt-BR"/>
        </w:rPr>
        <w:t xml:space="preserve">, </w:t>
      </w:r>
      <w:proofErr w:type="spellStart"/>
      <w:r w:rsidRPr="000C611B">
        <w:rPr>
          <w:rFonts w:ascii="Tahoma" w:hAnsi="Tahoma" w:cs="Tahoma"/>
          <w:lang w:val="pt-BR"/>
        </w:rPr>
        <w:t>regiões</w:t>
      </w:r>
      <w:proofErr w:type="spellEnd"/>
      <w:r w:rsidRPr="000C611B">
        <w:rPr>
          <w:rFonts w:ascii="Tahoma" w:hAnsi="Tahoma" w:cs="Tahoma"/>
          <w:lang w:val="pt-BR"/>
        </w:rPr>
        <w:t xml:space="preserve"> integradas de desenvolvimento </w:t>
      </w:r>
      <w:proofErr w:type="spellStart"/>
      <w:r w:rsidRPr="000C611B">
        <w:rPr>
          <w:rFonts w:ascii="Tahoma" w:hAnsi="Tahoma" w:cs="Tahoma"/>
          <w:lang w:val="pt-BR"/>
        </w:rPr>
        <w:t>econômico</w:t>
      </w:r>
      <w:proofErr w:type="spellEnd"/>
      <w:r w:rsidRPr="000C611B">
        <w:rPr>
          <w:rFonts w:ascii="Tahoma" w:hAnsi="Tahoma" w:cs="Tahoma"/>
          <w:lang w:val="pt-BR"/>
        </w:rPr>
        <w:t xml:space="preserve"> ou </w:t>
      </w:r>
      <w:proofErr w:type="spellStart"/>
      <w:r w:rsidRPr="000C611B">
        <w:rPr>
          <w:rFonts w:ascii="Tahoma" w:hAnsi="Tahoma" w:cs="Tahoma"/>
          <w:lang w:val="pt-BR"/>
        </w:rPr>
        <w:t>regiões</w:t>
      </w:r>
      <w:proofErr w:type="spellEnd"/>
      <w:r w:rsidRPr="000C611B">
        <w:rPr>
          <w:rFonts w:ascii="Tahoma" w:hAnsi="Tahoma" w:cs="Tahoma"/>
          <w:lang w:val="pt-BR"/>
        </w:rPr>
        <w:t xml:space="preserve"> metropolitanas com </w:t>
      </w:r>
      <w:proofErr w:type="spellStart"/>
      <w:r w:rsidRPr="000C611B">
        <w:rPr>
          <w:rFonts w:ascii="Tahoma" w:hAnsi="Tahoma" w:cs="Tahoma"/>
          <w:lang w:val="pt-BR"/>
        </w:rPr>
        <w:t>população</w:t>
      </w:r>
      <w:proofErr w:type="spellEnd"/>
      <w:r w:rsidRPr="000C611B">
        <w:rPr>
          <w:rFonts w:ascii="Tahoma" w:hAnsi="Tahoma" w:cs="Tahoma"/>
          <w:lang w:val="pt-BR"/>
        </w:rPr>
        <w:t xml:space="preserve"> inferior a 200.000 (duzentos mil) habitantes, ou em ambientes </w:t>
      </w:r>
      <w:proofErr w:type="spellStart"/>
      <w:r w:rsidRPr="000C611B">
        <w:rPr>
          <w:rFonts w:ascii="Tahoma" w:hAnsi="Tahoma" w:cs="Tahoma"/>
          <w:lang w:val="pt-BR"/>
        </w:rPr>
        <w:t>marítimos</w:t>
      </w:r>
      <w:proofErr w:type="spellEnd"/>
      <w:r w:rsidRPr="000C611B">
        <w:rPr>
          <w:rFonts w:ascii="Tahoma" w:hAnsi="Tahoma" w:cs="Tahoma"/>
          <w:lang w:val="pt-BR"/>
        </w:rPr>
        <w:t xml:space="preserve">, observado afastamento </w:t>
      </w:r>
      <w:proofErr w:type="spellStart"/>
      <w:r w:rsidRPr="000C611B">
        <w:rPr>
          <w:rFonts w:ascii="Tahoma" w:hAnsi="Tahoma" w:cs="Tahoma"/>
          <w:lang w:val="pt-BR"/>
        </w:rPr>
        <w:t>mínimo</w:t>
      </w:r>
      <w:proofErr w:type="spellEnd"/>
      <w:r w:rsidRPr="000C611B">
        <w:rPr>
          <w:rFonts w:ascii="Tahoma" w:hAnsi="Tahoma" w:cs="Tahoma"/>
          <w:lang w:val="pt-BR"/>
        </w:rPr>
        <w:t xml:space="preserve"> de 50 km da costa brasileira, conforme a </w:t>
      </w:r>
      <w:proofErr w:type="spellStart"/>
      <w:r w:rsidRPr="000C611B">
        <w:rPr>
          <w:rFonts w:ascii="Tahoma" w:hAnsi="Tahoma" w:cs="Tahoma"/>
          <w:lang w:val="pt-BR"/>
        </w:rPr>
        <w:t>canalização</w:t>
      </w:r>
      <w:proofErr w:type="spellEnd"/>
      <w:r w:rsidRPr="000C611B">
        <w:rPr>
          <w:rFonts w:ascii="Tahoma" w:hAnsi="Tahoma" w:cs="Tahoma"/>
          <w:lang w:val="pt-BR"/>
        </w:rPr>
        <w:t xml:space="preserve"> disposta em Ato da </w:t>
      </w:r>
      <w:proofErr w:type="spellStart"/>
      <w:r w:rsidRPr="000C611B">
        <w:rPr>
          <w:rFonts w:ascii="Tahoma" w:hAnsi="Tahoma" w:cs="Tahoma"/>
          <w:lang w:val="pt-BR"/>
        </w:rPr>
        <w:t>Superintendência</w:t>
      </w:r>
      <w:proofErr w:type="spellEnd"/>
      <w:r w:rsidRPr="000C611B">
        <w:rPr>
          <w:rFonts w:ascii="Tahoma" w:hAnsi="Tahoma" w:cs="Tahoma"/>
          <w:lang w:val="pt-BR"/>
        </w:rPr>
        <w:t xml:space="preserve"> </w:t>
      </w:r>
      <w:proofErr w:type="spellStart"/>
      <w:r w:rsidRPr="000C611B">
        <w:rPr>
          <w:rFonts w:ascii="Tahoma" w:hAnsi="Tahoma" w:cs="Tahoma"/>
          <w:lang w:val="pt-BR"/>
        </w:rPr>
        <w:t>responsável</w:t>
      </w:r>
      <w:proofErr w:type="spellEnd"/>
      <w:r w:rsidRPr="000C611B">
        <w:rPr>
          <w:rFonts w:ascii="Tahoma" w:hAnsi="Tahoma" w:cs="Tahoma"/>
          <w:lang w:val="pt-BR"/>
        </w:rPr>
        <w:t xml:space="preserve"> pela </w:t>
      </w:r>
      <w:proofErr w:type="spellStart"/>
      <w:r w:rsidRPr="000C611B">
        <w:rPr>
          <w:rFonts w:ascii="Tahoma" w:hAnsi="Tahoma" w:cs="Tahoma"/>
          <w:lang w:val="pt-BR"/>
        </w:rPr>
        <w:t>administração</w:t>
      </w:r>
      <w:proofErr w:type="spellEnd"/>
      <w:r w:rsidRPr="000C611B">
        <w:rPr>
          <w:rFonts w:ascii="Tahoma" w:hAnsi="Tahoma" w:cs="Tahoma"/>
          <w:lang w:val="pt-BR"/>
        </w:rPr>
        <w:t xml:space="preserve"> do uso do espectro de </w:t>
      </w:r>
      <w:proofErr w:type="spellStart"/>
      <w:r w:rsidRPr="000C611B">
        <w:rPr>
          <w:rFonts w:ascii="Tahoma" w:hAnsi="Tahoma" w:cs="Tahoma"/>
          <w:lang w:val="pt-BR"/>
        </w:rPr>
        <w:t>radiofrequências</w:t>
      </w:r>
      <w:proofErr w:type="spellEnd"/>
      <w:r w:rsidRPr="000C611B">
        <w:rPr>
          <w:rFonts w:ascii="Tahoma" w:hAnsi="Tahoma" w:cs="Tahoma"/>
          <w:lang w:val="pt-BR"/>
        </w:rPr>
        <w:t xml:space="preserve">. </w:t>
      </w:r>
    </w:p>
    <w:p w14:paraId="37FE2D1A" w14:textId="23B4C836" w:rsidR="000E1F98" w:rsidRDefault="000E1F98" w:rsidP="00C84689">
      <w:pPr>
        <w:pStyle w:val="NormalWeb"/>
        <w:shd w:val="clear" w:color="auto" w:fill="FFFFFF"/>
        <w:rPr>
          <w:rFonts w:ascii="Tahoma" w:hAnsi="Tahoma" w:cs="Tahoma"/>
          <w:lang w:val="pt-BR"/>
        </w:rPr>
      </w:pPr>
      <w:r w:rsidRPr="000C611B">
        <w:rPr>
          <w:rFonts w:ascii="Tahoma" w:hAnsi="Tahoma" w:cs="Tahoma"/>
          <w:b/>
          <w:bCs/>
          <w:lang w:val="pt-BR"/>
        </w:rPr>
        <w:t>Re</w:t>
      </w:r>
      <w:r>
        <w:rPr>
          <w:rFonts w:ascii="Tahoma" w:hAnsi="Tahoma" w:cs="Tahoma"/>
          <w:b/>
          <w:bCs/>
          <w:lang w:val="pt-BR"/>
        </w:rPr>
        <w:t>solução</w:t>
      </w:r>
      <w:r w:rsidRPr="000C611B">
        <w:rPr>
          <w:rFonts w:ascii="Tahoma" w:hAnsi="Tahoma" w:cs="Tahoma"/>
          <w:b/>
          <w:bCs/>
          <w:lang w:val="pt-BR"/>
        </w:rPr>
        <w:t xml:space="preserve"> - art. </w:t>
      </w:r>
      <w:r>
        <w:rPr>
          <w:rFonts w:ascii="Tahoma" w:hAnsi="Tahoma" w:cs="Tahoma"/>
          <w:b/>
          <w:bCs/>
          <w:lang w:val="pt-BR"/>
        </w:rPr>
        <w:t>2</w:t>
      </w:r>
      <w:r w:rsidRPr="000E1F98">
        <w:rPr>
          <w:rFonts w:ascii="Tahoma" w:hAnsi="Tahoma" w:cs="Tahoma"/>
          <w:b/>
          <w:bCs/>
          <w:vertAlign w:val="superscript"/>
          <w:lang w:val="pt-BR"/>
        </w:rPr>
        <w:t>o</w:t>
      </w:r>
    </w:p>
    <w:p w14:paraId="697617F2" w14:textId="2FE8B3EF" w:rsidR="000E1F98" w:rsidRPr="005C5BEE" w:rsidRDefault="000E1F98" w:rsidP="000E1F98">
      <w:pPr>
        <w:shd w:val="clear" w:color="auto" w:fill="FFFFFF"/>
        <w:spacing w:before="100" w:beforeAutospacing="1" w:after="100" w:afterAutospacing="1"/>
        <w:rPr>
          <w:rFonts w:ascii="Tahoma" w:hAnsi="Tahoma" w:cs="Tahoma"/>
          <w:lang w:val="pt-BR"/>
        </w:rPr>
      </w:pPr>
      <w:r w:rsidRPr="005C5BEE">
        <w:rPr>
          <w:rFonts w:ascii="Tahoma" w:hAnsi="Tahoma" w:cs="Tahoma"/>
          <w:lang w:val="pt-BR"/>
        </w:rPr>
        <w:t>Art. 2</w:t>
      </w:r>
      <w:r w:rsidRPr="005C5BEE">
        <w:rPr>
          <w:rFonts w:ascii="Tahoma" w:hAnsi="Tahoma" w:cs="Tahoma"/>
          <w:vertAlign w:val="superscript"/>
          <w:lang w:val="pt-BR"/>
        </w:rPr>
        <w:t>o</w:t>
      </w:r>
      <w:r w:rsidRPr="005C5BEE">
        <w:rPr>
          <w:rFonts w:ascii="Tahoma" w:hAnsi="Tahoma" w:cs="Tahoma"/>
          <w:lang w:val="pt-BR"/>
        </w:rPr>
        <w:t xml:space="preserve"> Destinar ao </w:t>
      </w:r>
      <w:proofErr w:type="spellStart"/>
      <w:r w:rsidRPr="005C5BEE">
        <w:rPr>
          <w:rFonts w:ascii="Tahoma" w:hAnsi="Tahoma" w:cs="Tahoma"/>
          <w:lang w:val="pt-BR"/>
        </w:rPr>
        <w:t>Serviço</w:t>
      </w:r>
      <w:proofErr w:type="spellEnd"/>
      <w:r w:rsidRPr="005C5BEE">
        <w:rPr>
          <w:rFonts w:ascii="Tahoma" w:hAnsi="Tahoma" w:cs="Tahoma"/>
          <w:lang w:val="pt-BR"/>
        </w:rPr>
        <w:t xml:space="preserve"> </w:t>
      </w:r>
      <w:proofErr w:type="spellStart"/>
      <w:r w:rsidRPr="005C5BEE">
        <w:rPr>
          <w:rFonts w:ascii="Tahoma" w:hAnsi="Tahoma" w:cs="Tahoma"/>
          <w:lang w:val="pt-BR"/>
        </w:rPr>
        <w:t>Móvel</w:t>
      </w:r>
      <w:proofErr w:type="spellEnd"/>
      <w:r w:rsidRPr="005C5BEE">
        <w:rPr>
          <w:rFonts w:ascii="Tahoma" w:hAnsi="Tahoma" w:cs="Tahoma"/>
          <w:lang w:val="pt-BR"/>
        </w:rPr>
        <w:t xml:space="preserve"> Pessoal (SMP), ao </w:t>
      </w:r>
      <w:proofErr w:type="spellStart"/>
      <w:r w:rsidRPr="005C5BEE">
        <w:rPr>
          <w:rFonts w:ascii="Tahoma" w:hAnsi="Tahoma" w:cs="Tahoma"/>
          <w:lang w:val="pt-BR"/>
        </w:rPr>
        <w:t>Serviço</w:t>
      </w:r>
      <w:proofErr w:type="spellEnd"/>
      <w:r w:rsidRPr="005C5BEE">
        <w:rPr>
          <w:rFonts w:ascii="Tahoma" w:hAnsi="Tahoma" w:cs="Tahoma"/>
          <w:lang w:val="pt-BR"/>
        </w:rPr>
        <w:t xml:space="preserve"> </w:t>
      </w:r>
      <w:proofErr w:type="spellStart"/>
      <w:r w:rsidRPr="005C5BEE">
        <w:rPr>
          <w:rFonts w:ascii="Tahoma" w:hAnsi="Tahoma" w:cs="Tahoma"/>
          <w:lang w:val="pt-BR"/>
        </w:rPr>
        <w:t>Telefônico</w:t>
      </w:r>
      <w:proofErr w:type="spellEnd"/>
      <w:r w:rsidRPr="005C5BEE">
        <w:rPr>
          <w:rFonts w:ascii="Tahoma" w:hAnsi="Tahoma" w:cs="Tahoma"/>
          <w:lang w:val="pt-BR"/>
        </w:rPr>
        <w:t xml:space="preserve"> Fixo Comutado (STFC), ao </w:t>
      </w:r>
      <w:proofErr w:type="spellStart"/>
      <w:r w:rsidRPr="005C5BEE">
        <w:rPr>
          <w:rFonts w:ascii="Tahoma" w:hAnsi="Tahoma" w:cs="Tahoma"/>
          <w:lang w:val="pt-BR"/>
        </w:rPr>
        <w:t>Serviço</w:t>
      </w:r>
      <w:proofErr w:type="spellEnd"/>
      <w:r w:rsidRPr="005C5BEE">
        <w:rPr>
          <w:rFonts w:ascii="Tahoma" w:hAnsi="Tahoma" w:cs="Tahoma"/>
          <w:lang w:val="pt-BR"/>
        </w:rPr>
        <w:t xml:space="preserve"> de </w:t>
      </w:r>
      <w:proofErr w:type="spellStart"/>
      <w:r w:rsidRPr="005C5BEE">
        <w:rPr>
          <w:rFonts w:ascii="Tahoma" w:hAnsi="Tahoma" w:cs="Tahoma"/>
          <w:lang w:val="pt-BR"/>
        </w:rPr>
        <w:t>Comunicação</w:t>
      </w:r>
      <w:proofErr w:type="spellEnd"/>
      <w:r w:rsidRPr="005C5BEE">
        <w:rPr>
          <w:rFonts w:ascii="Tahoma" w:hAnsi="Tahoma" w:cs="Tahoma"/>
          <w:lang w:val="pt-BR"/>
        </w:rPr>
        <w:t xml:space="preserve"> </w:t>
      </w:r>
      <w:proofErr w:type="spellStart"/>
      <w:r w:rsidRPr="005C5BEE">
        <w:rPr>
          <w:rFonts w:ascii="Tahoma" w:hAnsi="Tahoma" w:cs="Tahoma"/>
          <w:lang w:val="pt-BR"/>
        </w:rPr>
        <w:t>Multimídia</w:t>
      </w:r>
      <w:proofErr w:type="spellEnd"/>
      <w:r w:rsidRPr="005C5BEE">
        <w:rPr>
          <w:rFonts w:ascii="Tahoma" w:hAnsi="Tahoma" w:cs="Tahoma"/>
          <w:lang w:val="pt-BR"/>
        </w:rPr>
        <w:t xml:space="preserve"> (SCM) e ao </w:t>
      </w:r>
      <w:proofErr w:type="spellStart"/>
      <w:r w:rsidRPr="005C5BEE">
        <w:rPr>
          <w:rFonts w:ascii="Tahoma" w:hAnsi="Tahoma" w:cs="Tahoma"/>
          <w:lang w:val="pt-BR"/>
        </w:rPr>
        <w:t>Serviço</w:t>
      </w:r>
      <w:proofErr w:type="spellEnd"/>
      <w:r w:rsidRPr="005C5BEE">
        <w:rPr>
          <w:rFonts w:ascii="Tahoma" w:hAnsi="Tahoma" w:cs="Tahoma"/>
          <w:lang w:val="pt-BR"/>
        </w:rPr>
        <w:t xml:space="preserve"> Limitado Privado (SLP), em </w:t>
      </w:r>
      <w:proofErr w:type="spellStart"/>
      <w:r w:rsidRPr="005C5BEE">
        <w:rPr>
          <w:rFonts w:ascii="Tahoma" w:hAnsi="Tahoma" w:cs="Tahoma"/>
          <w:lang w:val="pt-BR"/>
        </w:rPr>
        <w:t>caráter</w:t>
      </w:r>
      <w:proofErr w:type="spellEnd"/>
      <w:r w:rsidRPr="005C5BEE">
        <w:rPr>
          <w:rFonts w:ascii="Tahoma" w:hAnsi="Tahoma" w:cs="Tahoma"/>
          <w:lang w:val="pt-BR"/>
        </w:rPr>
        <w:t xml:space="preserve"> </w:t>
      </w:r>
      <w:proofErr w:type="spellStart"/>
      <w:r w:rsidRPr="005C5BEE">
        <w:rPr>
          <w:rFonts w:ascii="Tahoma" w:hAnsi="Tahoma" w:cs="Tahoma"/>
          <w:lang w:val="pt-BR"/>
        </w:rPr>
        <w:t>primário</w:t>
      </w:r>
      <w:proofErr w:type="spellEnd"/>
      <w:r w:rsidRPr="005C5BEE">
        <w:rPr>
          <w:rFonts w:ascii="Tahoma" w:hAnsi="Tahoma" w:cs="Tahoma"/>
          <w:lang w:val="pt-BR"/>
        </w:rPr>
        <w:t xml:space="preserve">, sem exclusividade, a faixa de </w:t>
      </w:r>
      <w:proofErr w:type="spellStart"/>
      <w:r w:rsidRPr="005C5BEE">
        <w:rPr>
          <w:rFonts w:ascii="Tahoma" w:hAnsi="Tahoma" w:cs="Tahoma"/>
          <w:lang w:val="pt-BR"/>
        </w:rPr>
        <w:t>radiofrequências</w:t>
      </w:r>
      <w:proofErr w:type="spellEnd"/>
      <w:r w:rsidRPr="005C5BEE">
        <w:rPr>
          <w:rFonts w:ascii="Tahoma" w:hAnsi="Tahoma" w:cs="Tahoma"/>
          <w:lang w:val="pt-BR"/>
        </w:rPr>
        <w:t xml:space="preserve"> de 1.427 MHz a 1.518 MHz. </w:t>
      </w:r>
    </w:p>
    <w:p w14:paraId="10FE3EC4" w14:textId="77777777" w:rsidR="000E1F98" w:rsidRPr="005C5BEE" w:rsidRDefault="000E1F98" w:rsidP="000E1F98">
      <w:pPr>
        <w:rPr>
          <w:rFonts w:ascii="Tahoma" w:hAnsi="Tahoma" w:cs="Tahoma"/>
          <w:b/>
          <w:bCs/>
          <w:color w:val="FF0000"/>
          <w:lang w:val="pt-BR"/>
        </w:rPr>
      </w:pPr>
      <w:r w:rsidRPr="005C5BEE">
        <w:rPr>
          <w:rFonts w:ascii="Tahoma" w:hAnsi="Tahoma" w:cs="Tahoma"/>
          <w:b/>
          <w:bCs/>
          <w:color w:val="FF0000"/>
          <w:lang w:val="pt-BR"/>
        </w:rPr>
        <w:t>CONTRIBUIÇÃO</w:t>
      </w:r>
    </w:p>
    <w:p w14:paraId="20EB10E2" w14:textId="6C04D8CE" w:rsidR="000E1F98" w:rsidRPr="005C5BEE" w:rsidRDefault="000E1F98" w:rsidP="000E1F98">
      <w:pPr>
        <w:rPr>
          <w:rFonts w:ascii="Tahoma" w:hAnsi="Tahoma" w:cs="Tahoma"/>
          <w:b/>
          <w:bCs/>
          <w:color w:val="FF0000"/>
          <w:lang w:val="pt-BR"/>
        </w:rPr>
      </w:pPr>
      <w:r w:rsidRPr="005C5BEE">
        <w:rPr>
          <w:rFonts w:ascii="Tahoma" w:hAnsi="Tahoma" w:cs="Tahoma"/>
          <w:lang w:val="pt-BR"/>
        </w:rPr>
        <w:t xml:space="preserve">Considerando que na minuta de </w:t>
      </w:r>
      <w:proofErr w:type="spellStart"/>
      <w:r w:rsidRPr="005C5BEE">
        <w:rPr>
          <w:rFonts w:ascii="Tahoma" w:hAnsi="Tahoma" w:cs="Tahoma"/>
          <w:lang w:val="pt-BR"/>
        </w:rPr>
        <w:t>resolução</w:t>
      </w:r>
      <w:proofErr w:type="spellEnd"/>
      <w:r w:rsidRPr="005C5BEE">
        <w:rPr>
          <w:rFonts w:ascii="Tahoma" w:hAnsi="Tahoma" w:cs="Tahoma"/>
          <w:lang w:val="pt-BR"/>
        </w:rPr>
        <w:t xml:space="preserve"> é citada a </w:t>
      </w:r>
      <w:proofErr w:type="spellStart"/>
      <w:r w:rsidRPr="005C5BEE">
        <w:rPr>
          <w:rFonts w:ascii="Tahoma" w:hAnsi="Tahoma" w:cs="Tahoma"/>
          <w:lang w:val="pt-BR"/>
        </w:rPr>
        <w:t>destinação</w:t>
      </w:r>
      <w:proofErr w:type="spellEnd"/>
      <w:r w:rsidRPr="005C5BEE">
        <w:rPr>
          <w:rFonts w:ascii="Tahoma" w:hAnsi="Tahoma" w:cs="Tahoma"/>
          <w:lang w:val="pt-BR"/>
        </w:rPr>
        <w:t xml:space="preserve"> ao </w:t>
      </w:r>
      <w:proofErr w:type="spellStart"/>
      <w:r w:rsidRPr="005C5BEE">
        <w:rPr>
          <w:rFonts w:ascii="Tahoma" w:hAnsi="Tahoma" w:cs="Tahoma"/>
          <w:lang w:val="pt-BR"/>
        </w:rPr>
        <w:t>Serviço</w:t>
      </w:r>
      <w:proofErr w:type="spellEnd"/>
      <w:r w:rsidRPr="005C5BEE">
        <w:rPr>
          <w:rFonts w:ascii="Tahoma" w:hAnsi="Tahoma" w:cs="Tahoma"/>
          <w:lang w:val="pt-BR"/>
        </w:rPr>
        <w:t xml:space="preserve"> Limitado Privado (SLP), esclarecer se </w:t>
      </w:r>
      <w:proofErr w:type="spellStart"/>
      <w:r w:rsidRPr="005C5BEE">
        <w:rPr>
          <w:rFonts w:ascii="Tahoma" w:hAnsi="Tahoma" w:cs="Tahoma"/>
          <w:lang w:val="pt-BR"/>
        </w:rPr>
        <w:t>havera</w:t>
      </w:r>
      <w:proofErr w:type="spellEnd"/>
      <w:r w:rsidRPr="005C5BEE">
        <w:rPr>
          <w:rFonts w:ascii="Tahoma" w:hAnsi="Tahoma" w:cs="Tahoma"/>
          <w:lang w:val="pt-BR"/>
        </w:rPr>
        <w:t xml:space="preserve">́ </w:t>
      </w:r>
      <w:proofErr w:type="spellStart"/>
      <w:r w:rsidRPr="005C5BEE">
        <w:rPr>
          <w:rFonts w:ascii="Tahoma" w:hAnsi="Tahoma" w:cs="Tahoma"/>
          <w:lang w:val="pt-BR"/>
        </w:rPr>
        <w:t>canalização</w:t>
      </w:r>
      <w:proofErr w:type="spellEnd"/>
      <w:r w:rsidRPr="005C5BEE">
        <w:rPr>
          <w:rFonts w:ascii="Tahoma" w:hAnsi="Tahoma" w:cs="Tahoma"/>
          <w:lang w:val="pt-BR"/>
        </w:rPr>
        <w:t xml:space="preserve"> </w:t>
      </w:r>
      <w:proofErr w:type="spellStart"/>
      <w:r w:rsidRPr="005C5BEE">
        <w:rPr>
          <w:rFonts w:ascii="Tahoma" w:hAnsi="Tahoma" w:cs="Tahoma"/>
          <w:lang w:val="pt-BR"/>
        </w:rPr>
        <w:t>específica</w:t>
      </w:r>
      <w:proofErr w:type="spellEnd"/>
      <w:r w:rsidRPr="005C5BEE">
        <w:rPr>
          <w:rFonts w:ascii="Tahoma" w:hAnsi="Tahoma" w:cs="Tahoma"/>
          <w:lang w:val="pt-BR"/>
        </w:rPr>
        <w:t xml:space="preserve"> para esse serviço - utilities, para a </w:t>
      </w:r>
      <w:proofErr w:type="spellStart"/>
      <w:r w:rsidRPr="005C5BEE">
        <w:rPr>
          <w:rFonts w:ascii="Tahoma" w:hAnsi="Tahoma" w:cs="Tahoma"/>
          <w:lang w:val="pt-BR"/>
        </w:rPr>
        <w:t>aplicação</w:t>
      </w:r>
      <w:proofErr w:type="spellEnd"/>
      <w:r w:rsidRPr="005C5BEE">
        <w:rPr>
          <w:rFonts w:ascii="Tahoma" w:hAnsi="Tahoma" w:cs="Tahoma"/>
          <w:lang w:val="pt-BR"/>
        </w:rPr>
        <w:t xml:space="preserve"> em </w:t>
      </w:r>
      <w:proofErr w:type="spellStart"/>
      <w:r w:rsidRPr="005C5BEE">
        <w:rPr>
          <w:rFonts w:ascii="Tahoma" w:hAnsi="Tahoma" w:cs="Tahoma"/>
          <w:lang w:val="pt-BR"/>
        </w:rPr>
        <w:t>soluções</w:t>
      </w:r>
      <w:proofErr w:type="spellEnd"/>
      <w:r w:rsidRPr="005C5BEE">
        <w:rPr>
          <w:rFonts w:ascii="Tahoma" w:hAnsi="Tahoma" w:cs="Tahoma"/>
          <w:lang w:val="pt-BR"/>
        </w:rPr>
        <w:t xml:space="preserve"> operativas relacionadas à </w:t>
      </w:r>
      <w:proofErr w:type="spellStart"/>
      <w:r w:rsidRPr="005C5BEE">
        <w:rPr>
          <w:rFonts w:ascii="Tahoma" w:hAnsi="Tahoma" w:cs="Tahoma"/>
          <w:lang w:val="pt-BR"/>
        </w:rPr>
        <w:t>exploração</w:t>
      </w:r>
      <w:proofErr w:type="spellEnd"/>
      <w:r w:rsidRPr="005C5BEE">
        <w:rPr>
          <w:rFonts w:ascii="Tahoma" w:hAnsi="Tahoma" w:cs="Tahoma"/>
          <w:lang w:val="pt-BR"/>
        </w:rPr>
        <w:t xml:space="preserve"> dos </w:t>
      </w:r>
      <w:proofErr w:type="spellStart"/>
      <w:r w:rsidRPr="005C5BEE">
        <w:rPr>
          <w:rFonts w:ascii="Tahoma" w:hAnsi="Tahoma" w:cs="Tahoma"/>
          <w:lang w:val="pt-BR"/>
        </w:rPr>
        <w:t>serviços</w:t>
      </w:r>
      <w:proofErr w:type="spellEnd"/>
      <w:r w:rsidRPr="005C5BEE">
        <w:rPr>
          <w:rFonts w:ascii="Tahoma" w:hAnsi="Tahoma" w:cs="Tahoma"/>
          <w:lang w:val="pt-BR"/>
        </w:rPr>
        <w:t xml:space="preserve"> da respectiva </w:t>
      </w:r>
      <w:proofErr w:type="spellStart"/>
      <w:r w:rsidRPr="005C5BEE">
        <w:rPr>
          <w:rFonts w:ascii="Tahoma" w:hAnsi="Tahoma" w:cs="Tahoma"/>
          <w:lang w:val="pt-BR"/>
        </w:rPr>
        <w:t>concessão</w:t>
      </w:r>
      <w:proofErr w:type="spellEnd"/>
      <w:r w:rsidRPr="005C5BEE">
        <w:rPr>
          <w:rFonts w:ascii="Tahoma" w:hAnsi="Tahoma" w:cs="Tahoma"/>
          <w:lang w:val="pt-BR"/>
        </w:rPr>
        <w:t xml:space="preserve">. </w:t>
      </w:r>
    </w:p>
    <w:p w14:paraId="2650D964" w14:textId="77777777" w:rsidR="000E1F98" w:rsidRPr="005C5BEE" w:rsidRDefault="000E1F98" w:rsidP="000E1F98">
      <w:pPr>
        <w:spacing w:before="100" w:beforeAutospacing="1" w:after="100" w:afterAutospacing="1"/>
        <w:rPr>
          <w:b/>
          <w:bCs/>
          <w:lang w:val="pt-BR"/>
        </w:rPr>
      </w:pPr>
      <w:r w:rsidRPr="005C5BEE">
        <w:rPr>
          <w:rFonts w:ascii="Tahoma,Bold" w:hAnsi="Tahoma,Bold"/>
          <w:b/>
          <w:bCs/>
          <w:lang w:val="pt-BR"/>
        </w:rPr>
        <w:t>Resolução - art. 7</w:t>
      </w:r>
      <w:r w:rsidRPr="005C5BEE">
        <w:rPr>
          <w:rFonts w:ascii="Tahoma,Bold" w:hAnsi="Tahoma,Bold"/>
          <w:b/>
          <w:bCs/>
          <w:vertAlign w:val="superscript"/>
          <w:lang w:val="pt-BR"/>
        </w:rPr>
        <w:t xml:space="preserve">o </w:t>
      </w:r>
    </w:p>
    <w:p w14:paraId="06B0AAA5" w14:textId="77777777" w:rsidR="000E1F98" w:rsidRPr="005C5BEE" w:rsidRDefault="000E1F98" w:rsidP="000E1F98">
      <w:pPr>
        <w:spacing w:before="100" w:beforeAutospacing="1" w:after="100" w:afterAutospacing="1"/>
        <w:rPr>
          <w:lang w:val="pt-BR"/>
        </w:rPr>
      </w:pPr>
      <w:r w:rsidRPr="005C5BEE">
        <w:rPr>
          <w:rFonts w:ascii="Tahoma" w:hAnsi="Tahoma" w:cs="Tahoma"/>
          <w:lang w:val="pt-BR"/>
        </w:rPr>
        <w:t xml:space="preserve">Art. 7o Revogar a Resolução no 198, de 16 de dezembro de 1999. </w:t>
      </w:r>
    </w:p>
    <w:p w14:paraId="71048FBB" w14:textId="77777777" w:rsidR="000E1F98" w:rsidRPr="005C5BEE" w:rsidRDefault="000E1F98" w:rsidP="000E1F98">
      <w:pPr>
        <w:rPr>
          <w:rFonts w:ascii="Tahoma" w:hAnsi="Tahoma" w:cs="Tahoma"/>
          <w:b/>
          <w:bCs/>
          <w:color w:val="FF0000"/>
          <w:lang w:val="pt-BR"/>
        </w:rPr>
      </w:pPr>
      <w:r w:rsidRPr="005C5BEE">
        <w:rPr>
          <w:rFonts w:ascii="Tahoma" w:hAnsi="Tahoma" w:cs="Tahoma"/>
          <w:b/>
          <w:bCs/>
          <w:color w:val="FF0000"/>
          <w:lang w:val="pt-BR"/>
        </w:rPr>
        <w:t>CONTRIBUIÇÃO</w:t>
      </w:r>
    </w:p>
    <w:p w14:paraId="20491355" w14:textId="16D7D49F" w:rsidR="000E1F98" w:rsidRPr="005C5BEE" w:rsidRDefault="000E1F98" w:rsidP="000E1F98">
      <w:pPr>
        <w:rPr>
          <w:rFonts w:ascii="Tahoma" w:hAnsi="Tahoma" w:cs="Tahoma"/>
          <w:b/>
          <w:bCs/>
          <w:color w:val="FF0000"/>
          <w:lang w:val="pt-BR"/>
        </w:rPr>
      </w:pPr>
      <w:r w:rsidRPr="005C5BEE">
        <w:rPr>
          <w:rFonts w:ascii="Tahoma" w:hAnsi="Tahoma" w:cs="Tahoma"/>
          <w:lang w:val="pt-BR"/>
        </w:rPr>
        <w:t xml:space="preserve">Considerando que na faixa 1437,75 MHz a 1452 MHz e 1503,25 MHz a 1517 MHz existe em </w:t>
      </w:r>
      <w:proofErr w:type="spellStart"/>
      <w:r w:rsidRPr="005C5BEE">
        <w:rPr>
          <w:rFonts w:ascii="Tahoma" w:hAnsi="Tahoma" w:cs="Tahoma"/>
          <w:lang w:val="pt-BR"/>
        </w:rPr>
        <w:t>operação</w:t>
      </w:r>
      <w:proofErr w:type="spellEnd"/>
      <w:r w:rsidRPr="005C5BEE">
        <w:rPr>
          <w:rFonts w:ascii="Tahoma" w:hAnsi="Tahoma" w:cs="Tahoma"/>
          <w:lang w:val="pt-BR"/>
        </w:rPr>
        <w:t xml:space="preserve"> uma grande quantidade de enlaces digitais, ponto-a-ponto, suportando </w:t>
      </w:r>
      <w:proofErr w:type="spellStart"/>
      <w:r w:rsidRPr="005C5BEE">
        <w:rPr>
          <w:rFonts w:ascii="Tahoma" w:hAnsi="Tahoma" w:cs="Tahoma"/>
          <w:lang w:val="pt-BR"/>
        </w:rPr>
        <w:t>serviços</w:t>
      </w:r>
      <w:proofErr w:type="spellEnd"/>
      <w:r w:rsidRPr="005C5BEE">
        <w:rPr>
          <w:rFonts w:ascii="Tahoma" w:hAnsi="Tahoma" w:cs="Tahoma"/>
          <w:lang w:val="pt-BR"/>
        </w:rPr>
        <w:t xml:space="preserve"> de </w:t>
      </w:r>
      <w:proofErr w:type="spellStart"/>
      <w:r w:rsidRPr="005C5BEE">
        <w:rPr>
          <w:rFonts w:ascii="Tahoma" w:hAnsi="Tahoma" w:cs="Tahoma"/>
          <w:lang w:val="pt-BR"/>
        </w:rPr>
        <w:t>missão</w:t>
      </w:r>
      <w:proofErr w:type="spellEnd"/>
      <w:r w:rsidRPr="005C5BEE">
        <w:rPr>
          <w:rFonts w:ascii="Tahoma" w:hAnsi="Tahoma" w:cs="Tahoma"/>
          <w:lang w:val="pt-BR"/>
        </w:rPr>
        <w:t xml:space="preserve"> </w:t>
      </w:r>
      <w:proofErr w:type="spellStart"/>
      <w:r w:rsidRPr="005C5BEE">
        <w:rPr>
          <w:rFonts w:ascii="Tahoma" w:hAnsi="Tahoma" w:cs="Tahoma"/>
          <w:lang w:val="pt-BR"/>
        </w:rPr>
        <w:t>crítica</w:t>
      </w:r>
      <w:proofErr w:type="spellEnd"/>
      <w:r w:rsidRPr="005C5BEE">
        <w:rPr>
          <w:rFonts w:ascii="Tahoma" w:hAnsi="Tahoma" w:cs="Tahoma"/>
          <w:lang w:val="pt-BR"/>
        </w:rPr>
        <w:t xml:space="preserve"> prestados por utilities no Brasil, regulados pela ANEEL, cuja viabilidade </w:t>
      </w:r>
      <w:proofErr w:type="spellStart"/>
      <w:r w:rsidRPr="005C5BEE">
        <w:rPr>
          <w:rFonts w:ascii="Tahoma" w:hAnsi="Tahoma" w:cs="Tahoma"/>
          <w:lang w:val="pt-BR"/>
        </w:rPr>
        <w:t>técnica</w:t>
      </w:r>
      <w:proofErr w:type="spellEnd"/>
      <w:r w:rsidRPr="005C5BEE">
        <w:rPr>
          <w:rFonts w:ascii="Tahoma" w:hAnsi="Tahoma" w:cs="Tahoma"/>
          <w:lang w:val="pt-BR"/>
        </w:rPr>
        <w:t xml:space="preserve"> em outras faixas de </w:t>
      </w:r>
      <w:proofErr w:type="spellStart"/>
      <w:r w:rsidRPr="005C5BEE">
        <w:rPr>
          <w:rFonts w:ascii="Tahoma" w:hAnsi="Tahoma" w:cs="Tahoma"/>
          <w:lang w:val="pt-BR"/>
        </w:rPr>
        <w:t>frequências</w:t>
      </w:r>
      <w:proofErr w:type="spellEnd"/>
      <w:r w:rsidRPr="005C5BEE">
        <w:rPr>
          <w:rFonts w:ascii="Tahoma" w:hAnsi="Tahoma" w:cs="Tahoma"/>
          <w:lang w:val="pt-BR"/>
        </w:rPr>
        <w:t xml:space="preserve"> licenciadas resultariam em </w:t>
      </w:r>
      <w:proofErr w:type="spellStart"/>
      <w:r w:rsidRPr="005C5BEE">
        <w:rPr>
          <w:rFonts w:ascii="Tahoma" w:hAnsi="Tahoma" w:cs="Tahoma"/>
          <w:lang w:val="pt-BR"/>
        </w:rPr>
        <w:t>construções</w:t>
      </w:r>
      <w:proofErr w:type="spellEnd"/>
      <w:r w:rsidRPr="005C5BEE">
        <w:rPr>
          <w:rFonts w:ascii="Tahoma" w:hAnsi="Tahoma" w:cs="Tahoma"/>
          <w:lang w:val="pt-BR"/>
        </w:rPr>
        <w:t xml:space="preserve"> de infraestrutura, recursos para investimento, prazo de </w:t>
      </w:r>
      <w:proofErr w:type="spellStart"/>
      <w:r w:rsidRPr="005C5BEE">
        <w:rPr>
          <w:rFonts w:ascii="Tahoma" w:hAnsi="Tahoma" w:cs="Tahoma"/>
          <w:lang w:val="pt-BR"/>
        </w:rPr>
        <w:t>execução</w:t>
      </w:r>
      <w:proofErr w:type="spellEnd"/>
      <w:r w:rsidRPr="005C5BEE">
        <w:rPr>
          <w:rFonts w:ascii="Tahoma" w:hAnsi="Tahoma" w:cs="Tahoma"/>
          <w:lang w:val="pt-BR"/>
        </w:rPr>
        <w:t xml:space="preserve">, bem como impactos sobre a rede de </w:t>
      </w:r>
      <w:proofErr w:type="spellStart"/>
      <w:r w:rsidRPr="005C5BEE">
        <w:rPr>
          <w:rFonts w:ascii="Tahoma" w:hAnsi="Tahoma" w:cs="Tahoma"/>
          <w:lang w:val="pt-BR"/>
        </w:rPr>
        <w:t>automação</w:t>
      </w:r>
      <w:proofErr w:type="spellEnd"/>
      <w:r w:rsidRPr="005C5BEE">
        <w:rPr>
          <w:rFonts w:ascii="Tahoma" w:hAnsi="Tahoma" w:cs="Tahoma"/>
          <w:lang w:val="pt-BR"/>
        </w:rPr>
        <w:t xml:space="preserve">, controle e indicadores de continuidade das respectivas distribuidoras, solicitamos esclarecer se esses sistemas poderiam continuar a operar em </w:t>
      </w:r>
      <w:proofErr w:type="spellStart"/>
      <w:r w:rsidRPr="005C5BEE">
        <w:rPr>
          <w:rFonts w:ascii="Tahoma" w:hAnsi="Tahoma" w:cs="Tahoma"/>
          <w:lang w:val="pt-BR"/>
        </w:rPr>
        <w:t>caráter</w:t>
      </w:r>
      <w:proofErr w:type="spellEnd"/>
      <w:r w:rsidRPr="005C5BEE">
        <w:rPr>
          <w:rFonts w:ascii="Tahoma" w:hAnsi="Tahoma" w:cs="Tahoma"/>
          <w:lang w:val="pt-BR"/>
        </w:rPr>
        <w:t xml:space="preserve"> </w:t>
      </w:r>
      <w:proofErr w:type="spellStart"/>
      <w:r w:rsidRPr="005C5BEE">
        <w:rPr>
          <w:rFonts w:ascii="Tahoma" w:hAnsi="Tahoma" w:cs="Tahoma"/>
          <w:lang w:val="pt-BR"/>
        </w:rPr>
        <w:t>primário</w:t>
      </w:r>
      <w:proofErr w:type="spellEnd"/>
      <w:r w:rsidRPr="005C5BEE">
        <w:rPr>
          <w:rFonts w:ascii="Tahoma" w:hAnsi="Tahoma" w:cs="Tahoma"/>
          <w:lang w:val="pt-BR"/>
        </w:rPr>
        <w:t xml:space="preserve"> </w:t>
      </w:r>
      <w:proofErr w:type="spellStart"/>
      <w:r w:rsidRPr="005C5BEE">
        <w:rPr>
          <w:rFonts w:ascii="Tahoma" w:hAnsi="Tahoma" w:cs="Tahoma"/>
          <w:lang w:val="pt-BR"/>
        </w:rPr>
        <w:t>ate</w:t>
      </w:r>
      <w:proofErr w:type="spellEnd"/>
      <w:r w:rsidRPr="005C5BEE">
        <w:rPr>
          <w:rFonts w:ascii="Tahoma" w:hAnsi="Tahoma" w:cs="Tahoma"/>
          <w:lang w:val="pt-BR"/>
        </w:rPr>
        <w:t xml:space="preserve">́ o final das </w:t>
      </w:r>
      <w:proofErr w:type="spellStart"/>
      <w:r w:rsidRPr="005C5BEE">
        <w:rPr>
          <w:rFonts w:ascii="Tahoma" w:hAnsi="Tahoma" w:cs="Tahoma"/>
          <w:lang w:val="pt-BR"/>
        </w:rPr>
        <w:t>vigências</w:t>
      </w:r>
      <w:proofErr w:type="spellEnd"/>
      <w:r w:rsidRPr="005C5BEE">
        <w:rPr>
          <w:rFonts w:ascii="Tahoma" w:hAnsi="Tahoma" w:cs="Tahoma"/>
          <w:lang w:val="pt-BR"/>
        </w:rPr>
        <w:t xml:space="preserve"> das respectivas outorgas. </w:t>
      </w:r>
    </w:p>
    <w:p w14:paraId="19B3E3D6" w14:textId="39D9FF41" w:rsidR="000E1F98" w:rsidRPr="005C5BEE" w:rsidRDefault="009329EA" w:rsidP="00C84689">
      <w:pPr>
        <w:pStyle w:val="NormalWeb"/>
        <w:shd w:val="clear" w:color="auto" w:fill="FFFFFF"/>
        <w:rPr>
          <w:rFonts w:ascii="Tahoma" w:hAnsi="Tahoma" w:cs="Tahoma"/>
          <w:b/>
          <w:bCs/>
          <w:lang w:val="pt-BR"/>
        </w:rPr>
      </w:pPr>
      <w:r w:rsidRPr="005C5BEE">
        <w:rPr>
          <w:rFonts w:ascii="Tahoma" w:hAnsi="Tahoma" w:cs="Tahoma"/>
          <w:b/>
          <w:bCs/>
          <w:lang w:val="pt-BR"/>
        </w:rPr>
        <w:t xml:space="preserve">REGULAMENTO SOBRE CONDIÇÕES DE USO DA FAIXA DE RADIOFREQUÊNCIAS DE 1,5 GHZ </w:t>
      </w:r>
    </w:p>
    <w:p w14:paraId="7B222EAF" w14:textId="5AD3FCB1" w:rsidR="009329EA" w:rsidRPr="009329EA" w:rsidRDefault="009329EA" w:rsidP="00C84689">
      <w:pPr>
        <w:pStyle w:val="NormalWeb"/>
        <w:shd w:val="clear" w:color="auto" w:fill="FFFFFF"/>
        <w:rPr>
          <w:lang w:val="pt-BR"/>
        </w:rPr>
      </w:pPr>
      <w:r w:rsidRPr="005C5BEE">
        <w:rPr>
          <w:rFonts w:ascii="Tahoma" w:hAnsi="Tahoma" w:cs="Tahoma"/>
          <w:lang w:val="pt-BR"/>
        </w:rPr>
        <w:t xml:space="preserve">CAPÍTULO III </w:t>
      </w:r>
      <w:r w:rsidRPr="005C5BEE">
        <w:rPr>
          <w:lang w:val="pt-BR"/>
        </w:rPr>
        <w:t xml:space="preserve">- </w:t>
      </w:r>
      <w:r w:rsidRPr="005C5BEE">
        <w:rPr>
          <w:rFonts w:ascii="Tahoma" w:hAnsi="Tahoma" w:cs="Tahoma"/>
          <w:lang w:val="pt-BR"/>
        </w:rPr>
        <w:t>DO USO POR SISTEMAS DIGITAIS DO SERVIÇO FIXO</w:t>
      </w:r>
      <w:r w:rsidRPr="000C611B">
        <w:rPr>
          <w:rFonts w:ascii="Tahoma" w:hAnsi="Tahoma" w:cs="Tahoma"/>
          <w:lang w:val="pt-BR"/>
        </w:rPr>
        <w:t xml:space="preserve"> </w:t>
      </w:r>
    </w:p>
    <w:p w14:paraId="012FC87A" w14:textId="77777777" w:rsidR="00C84689" w:rsidRPr="000C611B" w:rsidRDefault="00C84689" w:rsidP="00C84689">
      <w:pPr>
        <w:pStyle w:val="NormalWeb"/>
        <w:shd w:val="clear" w:color="auto" w:fill="FFFFFF"/>
        <w:rPr>
          <w:lang w:val="pt-BR"/>
        </w:rPr>
      </w:pPr>
      <w:r w:rsidRPr="000C611B">
        <w:rPr>
          <w:rFonts w:ascii="Tahoma" w:hAnsi="Tahoma" w:cs="Tahoma"/>
          <w:b/>
          <w:bCs/>
          <w:lang w:val="pt-BR"/>
        </w:rPr>
        <w:t>Regulamento - art. 3</w:t>
      </w:r>
      <w:r w:rsidRPr="000E1F98">
        <w:rPr>
          <w:rFonts w:ascii="Tahoma" w:hAnsi="Tahoma" w:cs="Tahoma"/>
          <w:b/>
          <w:bCs/>
          <w:vertAlign w:val="superscript"/>
          <w:lang w:val="pt-BR"/>
        </w:rPr>
        <w:t>o</w:t>
      </w:r>
      <w:r w:rsidRPr="000C611B">
        <w:rPr>
          <w:rFonts w:ascii="Tahoma" w:hAnsi="Tahoma" w:cs="Tahoma"/>
          <w:b/>
          <w:bCs/>
          <w:lang w:val="pt-BR"/>
        </w:rPr>
        <w:t xml:space="preserve">, </w:t>
      </w:r>
      <w:proofErr w:type="spellStart"/>
      <w:r w:rsidRPr="000C611B">
        <w:rPr>
          <w:rFonts w:ascii="Tahoma" w:hAnsi="Tahoma" w:cs="Tahoma"/>
          <w:b/>
          <w:bCs/>
          <w:lang w:val="pt-BR"/>
        </w:rPr>
        <w:t>Parágrafo</w:t>
      </w:r>
      <w:proofErr w:type="spellEnd"/>
      <w:r w:rsidRPr="000C611B">
        <w:rPr>
          <w:rFonts w:ascii="Tahoma" w:hAnsi="Tahoma" w:cs="Tahoma"/>
          <w:b/>
          <w:bCs/>
          <w:lang w:val="pt-BR"/>
        </w:rPr>
        <w:t xml:space="preserve"> </w:t>
      </w:r>
      <w:proofErr w:type="spellStart"/>
      <w:r w:rsidRPr="000C611B">
        <w:rPr>
          <w:rFonts w:ascii="Tahoma" w:hAnsi="Tahoma" w:cs="Tahoma"/>
          <w:b/>
          <w:bCs/>
          <w:lang w:val="pt-BR"/>
        </w:rPr>
        <w:t>único</w:t>
      </w:r>
      <w:proofErr w:type="spellEnd"/>
      <w:r w:rsidRPr="000C611B">
        <w:rPr>
          <w:rFonts w:ascii="Tahoma" w:hAnsi="Tahoma" w:cs="Tahoma"/>
          <w:b/>
          <w:bCs/>
          <w:lang w:val="pt-BR"/>
        </w:rPr>
        <w:t xml:space="preserve"> </w:t>
      </w:r>
    </w:p>
    <w:p w14:paraId="212A9B55" w14:textId="77777777" w:rsidR="00C84689" w:rsidRPr="000C611B" w:rsidRDefault="00C84689" w:rsidP="00C84689">
      <w:pPr>
        <w:pStyle w:val="NormalWeb"/>
        <w:shd w:val="clear" w:color="auto" w:fill="FFFFFF"/>
        <w:rPr>
          <w:lang w:val="pt-BR"/>
        </w:rPr>
      </w:pPr>
      <w:proofErr w:type="spellStart"/>
      <w:r w:rsidRPr="000C611B">
        <w:rPr>
          <w:rFonts w:ascii="Tahoma" w:hAnsi="Tahoma" w:cs="Tahoma"/>
          <w:lang w:val="pt-BR"/>
        </w:rPr>
        <w:lastRenderedPageBreak/>
        <w:t>Parágrafo</w:t>
      </w:r>
      <w:proofErr w:type="spellEnd"/>
      <w:r w:rsidRPr="000C611B">
        <w:rPr>
          <w:rFonts w:ascii="Tahoma" w:hAnsi="Tahoma" w:cs="Tahoma"/>
          <w:lang w:val="pt-BR"/>
        </w:rPr>
        <w:t xml:space="preserve"> </w:t>
      </w:r>
      <w:proofErr w:type="spellStart"/>
      <w:r w:rsidRPr="000C611B">
        <w:rPr>
          <w:rFonts w:ascii="Tahoma" w:hAnsi="Tahoma" w:cs="Tahoma"/>
          <w:lang w:val="pt-BR"/>
        </w:rPr>
        <w:t>único</w:t>
      </w:r>
      <w:proofErr w:type="spellEnd"/>
      <w:r w:rsidRPr="000C611B">
        <w:rPr>
          <w:rFonts w:ascii="Tahoma" w:hAnsi="Tahoma" w:cs="Tahoma"/>
          <w:lang w:val="pt-BR"/>
        </w:rPr>
        <w:t xml:space="preserve">. Os sistemas operando em conformidade com este artigo </w:t>
      </w:r>
      <w:proofErr w:type="spellStart"/>
      <w:r w:rsidRPr="000C611B">
        <w:rPr>
          <w:rFonts w:ascii="Tahoma" w:hAnsi="Tahoma" w:cs="Tahoma"/>
          <w:lang w:val="pt-BR"/>
        </w:rPr>
        <w:t>não</w:t>
      </w:r>
      <w:proofErr w:type="spellEnd"/>
      <w:r w:rsidRPr="000C611B">
        <w:rPr>
          <w:rFonts w:ascii="Tahoma" w:hAnsi="Tahoma" w:cs="Tahoma"/>
          <w:lang w:val="pt-BR"/>
        </w:rPr>
        <w:t xml:space="preserve"> </w:t>
      </w:r>
      <w:proofErr w:type="spellStart"/>
      <w:r w:rsidRPr="000C611B">
        <w:rPr>
          <w:rFonts w:ascii="Tahoma" w:hAnsi="Tahoma" w:cs="Tahoma"/>
          <w:lang w:val="pt-BR"/>
        </w:rPr>
        <w:t>poderão</w:t>
      </w:r>
      <w:proofErr w:type="spellEnd"/>
      <w:r w:rsidRPr="000C611B">
        <w:rPr>
          <w:rFonts w:ascii="Tahoma" w:hAnsi="Tahoma" w:cs="Tahoma"/>
          <w:lang w:val="pt-BR"/>
        </w:rPr>
        <w:t xml:space="preserve"> causar </w:t>
      </w:r>
      <w:proofErr w:type="spellStart"/>
      <w:r w:rsidRPr="000C611B">
        <w:rPr>
          <w:rFonts w:ascii="Tahoma" w:hAnsi="Tahoma" w:cs="Tahoma"/>
          <w:lang w:val="pt-BR"/>
        </w:rPr>
        <w:t>interferência</w:t>
      </w:r>
      <w:proofErr w:type="spellEnd"/>
      <w:r w:rsidRPr="000C611B">
        <w:rPr>
          <w:rFonts w:ascii="Tahoma" w:hAnsi="Tahoma" w:cs="Tahoma"/>
          <w:lang w:val="pt-BR"/>
        </w:rPr>
        <w:t xml:space="preserve"> ou reclamar </w:t>
      </w:r>
      <w:proofErr w:type="spellStart"/>
      <w:r w:rsidRPr="000C611B">
        <w:rPr>
          <w:rFonts w:ascii="Tahoma" w:hAnsi="Tahoma" w:cs="Tahoma"/>
          <w:lang w:val="pt-BR"/>
        </w:rPr>
        <w:t>proteção</w:t>
      </w:r>
      <w:proofErr w:type="spellEnd"/>
      <w:r w:rsidRPr="000C611B">
        <w:rPr>
          <w:rFonts w:ascii="Tahoma" w:hAnsi="Tahoma" w:cs="Tahoma"/>
          <w:lang w:val="pt-BR"/>
        </w:rPr>
        <w:t xml:space="preserve"> dos demais operando na faixa de </w:t>
      </w:r>
      <w:proofErr w:type="spellStart"/>
      <w:r w:rsidRPr="000C611B">
        <w:rPr>
          <w:rFonts w:ascii="Tahoma" w:hAnsi="Tahoma" w:cs="Tahoma"/>
          <w:lang w:val="pt-BR"/>
        </w:rPr>
        <w:t>radiofrequências</w:t>
      </w:r>
      <w:proofErr w:type="spellEnd"/>
      <w:r w:rsidRPr="000C611B">
        <w:rPr>
          <w:rFonts w:ascii="Tahoma" w:hAnsi="Tahoma" w:cs="Tahoma"/>
          <w:lang w:val="pt-BR"/>
        </w:rPr>
        <w:t xml:space="preserve"> de 1.427 MHz a 1.518 MHz. </w:t>
      </w:r>
    </w:p>
    <w:p w14:paraId="7A95C965" w14:textId="38D31FF4" w:rsidR="00C84689" w:rsidRPr="006D7104" w:rsidRDefault="00C84689" w:rsidP="00C84689">
      <w:pPr>
        <w:rPr>
          <w:rFonts w:ascii="Tahoma" w:hAnsi="Tahoma" w:cs="Tahoma"/>
          <w:b/>
          <w:bCs/>
          <w:color w:val="FF0000"/>
          <w:lang w:val="pt-BR"/>
        </w:rPr>
      </w:pPr>
      <w:r w:rsidRPr="006D7104">
        <w:rPr>
          <w:rFonts w:ascii="Tahoma" w:hAnsi="Tahoma" w:cs="Tahoma"/>
          <w:b/>
          <w:bCs/>
          <w:color w:val="FF0000"/>
          <w:lang w:val="pt-BR"/>
        </w:rPr>
        <w:t>CONTRIBUIÇÃO</w:t>
      </w:r>
    </w:p>
    <w:p w14:paraId="5F5C11E7" w14:textId="738EA008" w:rsidR="00C84689" w:rsidRPr="006D7104" w:rsidRDefault="00C84689" w:rsidP="00851EBA">
      <w:pPr>
        <w:jc w:val="both"/>
        <w:rPr>
          <w:lang w:val="pt-BR"/>
        </w:rPr>
      </w:pPr>
      <w:r w:rsidRPr="006D7104">
        <w:rPr>
          <w:rFonts w:ascii="Tahoma" w:hAnsi="Tahoma" w:cs="Tahoma"/>
          <w:lang w:val="pt-BR"/>
        </w:rPr>
        <w:t>Considerando que na faixa 1437,75 MHz a 1452 MHz e 1503,25 MHz a 1517 MHz existe em operação uma grande quantidade de enlaces digitais do tipo serviço fixo em aplicação ponto a ponto suportando serviços de missão crítica prestados por utilities no Brasil [</w:t>
      </w:r>
      <w:r w:rsidR="0030398C" w:rsidRPr="006D7104">
        <w:rPr>
          <w:rFonts w:ascii="Tahoma" w:hAnsi="Tahoma" w:cs="Tahoma"/>
          <w:lang w:val="pt-BR"/>
        </w:rPr>
        <w:t xml:space="preserve">Ex.: Cemig D, CTEEP, </w:t>
      </w:r>
      <w:r w:rsidR="006D7104" w:rsidRPr="006D7104">
        <w:rPr>
          <w:rFonts w:ascii="Tahoma" w:hAnsi="Tahoma" w:cs="Tahoma"/>
          <w:lang w:val="pt-BR"/>
        </w:rPr>
        <w:t>CPFL Paulista, CPFL Piratininga, CPFL Santa Cruz</w:t>
      </w:r>
      <w:r w:rsidR="0030398C" w:rsidRPr="006D7104">
        <w:rPr>
          <w:rFonts w:ascii="Tahoma" w:hAnsi="Tahoma" w:cs="Tahoma"/>
          <w:lang w:val="pt-BR"/>
        </w:rPr>
        <w:t>, Enel SP (Eletropaulo), Cemig G&amp;T, Enel RJ (Ampla), EDP, Coelba, Enel GO (CELG), CEAL, CHESF, CELPE, Enel CE, Eletronorte, Energisa MS, Copel Telecom, Celesc, CEEE GT e Furnas</w:t>
      </w:r>
      <w:r w:rsidRPr="006D7104">
        <w:rPr>
          <w:rFonts w:ascii="Tahoma" w:hAnsi="Tahoma" w:cs="Tahoma"/>
          <w:lang w:val="pt-BR"/>
        </w:rPr>
        <w:t>], regulados pela Aneel, solicitamos esclarecer se esses sistemas poderiam continuar a operar em caráter primário até o final da vigências das respectivas outorgas</w:t>
      </w:r>
      <w:r w:rsidR="0030398C" w:rsidRPr="006D7104">
        <w:rPr>
          <w:rFonts w:ascii="Tahoma" w:hAnsi="Tahoma" w:cs="Tahoma"/>
          <w:lang w:val="pt-BR"/>
        </w:rPr>
        <w:t xml:space="preserve">. </w:t>
      </w:r>
    </w:p>
    <w:p w14:paraId="6A27A3DB" w14:textId="17DB1742" w:rsidR="00C84689" w:rsidRPr="006D7104" w:rsidRDefault="00C84689" w:rsidP="00C84689">
      <w:pPr>
        <w:rPr>
          <w:lang w:val="pt-BR"/>
        </w:rPr>
      </w:pPr>
    </w:p>
    <w:p w14:paraId="4B180B54" w14:textId="77777777" w:rsidR="0071497D" w:rsidRPr="006D7104" w:rsidRDefault="0071497D" w:rsidP="00C84689">
      <w:pPr>
        <w:rPr>
          <w:lang w:val="pt-BR"/>
        </w:rPr>
      </w:pPr>
    </w:p>
    <w:p w14:paraId="0DC5F9B4" w14:textId="77777777" w:rsidR="00C84689" w:rsidRPr="00AB27E7" w:rsidRDefault="00C84689" w:rsidP="00C84689">
      <w:pPr>
        <w:pStyle w:val="NormalWeb"/>
        <w:shd w:val="clear" w:color="auto" w:fill="FFFFFF"/>
        <w:rPr>
          <w:lang w:val="pt-BR"/>
        </w:rPr>
      </w:pPr>
      <w:r w:rsidRPr="00AB27E7">
        <w:rPr>
          <w:rFonts w:ascii="Tahoma" w:hAnsi="Tahoma" w:cs="Tahoma"/>
          <w:b/>
          <w:bCs/>
          <w:lang w:val="pt-BR"/>
        </w:rPr>
        <w:t xml:space="preserve">Regulamento - art. 6o </w:t>
      </w:r>
    </w:p>
    <w:p w14:paraId="7F092C81" w14:textId="77777777" w:rsidR="00C84689" w:rsidRPr="00AB27E7" w:rsidRDefault="00C84689" w:rsidP="00C84689">
      <w:pPr>
        <w:pStyle w:val="NormalWeb"/>
        <w:shd w:val="clear" w:color="auto" w:fill="FFFFFF"/>
        <w:rPr>
          <w:lang w:val="pt-BR"/>
        </w:rPr>
      </w:pPr>
      <w:r w:rsidRPr="00AB27E7">
        <w:rPr>
          <w:rFonts w:ascii="Tahoma" w:hAnsi="Tahoma" w:cs="Tahoma"/>
          <w:lang w:val="pt-BR"/>
        </w:rPr>
        <w:t xml:space="preserve">CAPÍTULO VI </w:t>
      </w:r>
    </w:p>
    <w:p w14:paraId="1DFD40F5" w14:textId="77777777" w:rsidR="00C84689" w:rsidRPr="00AB27E7" w:rsidRDefault="00C84689" w:rsidP="00C84689">
      <w:pPr>
        <w:pStyle w:val="NormalWeb"/>
        <w:shd w:val="clear" w:color="auto" w:fill="FFFFFF"/>
        <w:rPr>
          <w:lang w:val="pt-BR"/>
        </w:rPr>
      </w:pPr>
      <w:r w:rsidRPr="00AB27E7">
        <w:rPr>
          <w:rFonts w:ascii="Tahoma" w:hAnsi="Tahoma" w:cs="Tahoma"/>
          <w:lang w:val="pt-BR"/>
        </w:rPr>
        <w:t xml:space="preserve">DAS DISPOSIÇÕES FINAIS </w:t>
      </w:r>
    </w:p>
    <w:p w14:paraId="17B1C6A8" w14:textId="16E4EFC7" w:rsidR="00C84689" w:rsidRDefault="00C84689" w:rsidP="00C84689">
      <w:pPr>
        <w:pStyle w:val="NormalWeb"/>
        <w:shd w:val="clear" w:color="auto" w:fill="FFFFFF"/>
        <w:rPr>
          <w:rFonts w:ascii="Tahoma" w:hAnsi="Tahoma" w:cs="Tahoma"/>
          <w:lang w:val="pt-BR"/>
        </w:rPr>
      </w:pPr>
      <w:r w:rsidRPr="00AB27E7">
        <w:rPr>
          <w:rFonts w:ascii="Tahoma" w:hAnsi="Tahoma" w:cs="Tahoma"/>
          <w:lang w:val="pt-BR"/>
        </w:rPr>
        <w:t xml:space="preserve">Art. 6o </w:t>
      </w:r>
      <w:r>
        <w:rPr>
          <w:rFonts w:ascii="Tahoma" w:hAnsi="Tahoma" w:cs="Tahoma"/>
          <w:lang w:val="pt-BR"/>
        </w:rPr>
        <w:t xml:space="preserve">- </w:t>
      </w:r>
      <w:r w:rsidRPr="00AB27E7">
        <w:rPr>
          <w:rFonts w:ascii="Tahoma" w:hAnsi="Tahoma" w:cs="Tahoma"/>
          <w:lang w:val="pt-BR"/>
        </w:rPr>
        <w:t xml:space="preserve">Sistemas em </w:t>
      </w:r>
      <w:proofErr w:type="spellStart"/>
      <w:r w:rsidRPr="00AB27E7">
        <w:rPr>
          <w:rFonts w:ascii="Tahoma" w:hAnsi="Tahoma" w:cs="Tahoma"/>
          <w:lang w:val="pt-BR"/>
        </w:rPr>
        <w:t>operação</w:t>
      </w:r>
      <w:proofErr w:type="spellEnd"/>
      <w:r w:rsidRPr="00AB27E7">
        <w:rPr>
          <w:rFonts w:ascii="Tahoma" w:hAnsi="Tahoma" w:cs="Tahoma"/>
          <w:lang w:val="pt-BR"/>
        </w:rPr>
        <w:t xml:space="preserve"> na faixa de </w:t>
      </w:r>
      <w:proofErr w:type="spellStart"/>
      <w:r w:rsidRPr="00AB27E7">
        <w:rPr>
          <w:rFonts w:ascii="Tahoma" w:hAnsi="Tahoma" w:cs="Tahoma"/>
          <w:lang w:val="pt-BR"/>
        </w:rPr>
        <w:t>radiofrequências</w:t>
      </w:r>
      <w:proofErr w:type="spellEnd"/>
      <w:r w:rsidRPr="00AB27E7">
        <w:rPr>
          <w:rFonts w:ascii="Tahoma" w:hAnsi="Tahoma" w:cs="Tahoma"/>
          <w:lang w:val="pt-BR"/>
        </w:rPr>
        <w:t xml:space="preserve"> de 1.427 MHz a 1.518 MHz, regularmente autorizados, e cuja </w:t>
      </w:r>
      <w:proofErr w:type="spellStart"/>
      <w:r w:rsidRPr="00AB27E7">
        <w:rPr>
          <w:rFonts w:ascii="Tahoma" w:hAnsi="Tahoma" w:cs="Tahoma"/>
          <w:lang w:val="pt-BR"/>
        </w:rPr>
        <w:t>operação</w:t>
      </w:r>
      <w:proofErr w:type="spellEnd"/>
      <w:r w:rsidRPr="00AB27E7">
        <w:rPr>
          <w:rFonts w:ascii="Tahoma" w:hAnsi="Tahoma" w:cs="Tahoma"/>
          <w:lang w:val="pt-BR"/>
        </w:rPr>
        <w:t xml:space="preserve"> esteja em desacordo com o estabelecido neste Regulamento, </w:t>
      </w:r>
      <w:proofErr w:type="spellStart"/>
      <w:r w:rsidRPr="00AB27E7">
        <w:rPr>
          <w:rFonts w:ascii="Tahoma" w:hAnsi="Tahoma" w:cs="Tahoma"/>
          <w:lang w:val="pt-BR"/>
        </w:rPr>
        <w:t>poderão</w:t>
      </w:r>
      <w:proofErr w:type="spellEnd"/>
      <w:r w:rsidRPr="00AB27E7">
        <w:rPr>
          <w:rFonts w:ascii="Tahoma" w:hAnsi="Tahoma" w:cs="Tahoma"/>
          <w:lang w:val="pt-BR"/>
        </w:rPr>
        <w:t xml:space="preserve"> continuar em </w:t>
      </w:r>
      <w:proofErr w:type="spellStart"/>
      <w:r w:rsidRPr="00AB27E7">
        <w:rPr>
          <w:rFonts w:ascii="Tahoma" w:hAnsi="Tahoma" w:cs="Tahoma"/>
          <w:lang w:val="pt-BR"/>
        </w:rPr>
        <w:t>operação</w:t>
      </w:r>
      <w:proofErr w:type="spellEnd"/>
      <w:r w:rsidRPr="00AB27E7">
        <w:rPr>
          <w:rFonts w:ascii="Tahoma" w:hAnsi="Tahoma" w:cs="Tahoma"/>
          <w:lang w:val="pt-BR"/>
        </w:rPr>
        <w:t xml:space="preserve"> em </w:t>
      </w:r>
      <w:proofErr w:type="spellStart"/>
      <w:r w:rsidRPr="00AB27E7">
        <w:rPr>
          <w:rFonts w:ascii="Tahoma" w:hAnsi="Tahoma" w:cs="Tahoma"/>
          <w:lang w:val="pt-BR"/>
        </w:rPr>
        <w:t>caráter</w:t>
      </w:r>
      <w:proofErr w:type="spellEnd"/>
      <w:r w:rsidRPr="00AB27E7">
        <w:rPr>
          <w:rFonts w:ascii="Tahoma" w:hAnsi="Tahoma" w:cs="Tahoma"/>
          <w:lang w:val="pt-BR"/>
        </w:rPr>
        <w:t xml:space="preserve"> </w:t>
      </w:r>
      <w:proofErr w:type="spellStart"/>
      <w:r w:rsidRPr="00AB27E7">
        <w:rPr>
          <w:rFonts w:ascii="Tahoma" w:hAnsi="Tahoma" w:cs="Tahoma"/>
          <w:lang w:val="pt-BR"/>
        </w:rPr>
        <w:t>secundário</w:t>
      </w:r>
      <w:proofErr w:type="spellEnd"/>
      <w:r w:rsidRPr="00AB27E7">
        <w:rPr>
          <w:rFonts w:ascii="Tahoma" w:hAnsi="Tahoma" w:cs="Tahoma"/>
          <w:lang w:val="pt-BR"/>
        </w:rPr>
        <w:t xml:space="preserve"> e sem direito à </w:t>
      </w:r>
      <w:proofErr w:type="spellStart"/>
      <w:r w:rsidRPr="00AB27E7">
        <w:rPr>
          <w:rFonts w:ascii="Tahoma" w:hAnsi="Tahoma" w:cs="Tahoma"/>
          <w:lang w:val="pt-BR"/>
        </w:rPr>
        <w:t>prorrogação</w:t>
      </w:r>
      <w:proofErr w:type="spellEnd"/>
      <w:r w:rsidRPr="00AB27E7">
        <w:rPr>
          <w:rFonts w:ascii="Tahoma" w:hAnsi="Tahoma" w:cs="Tahoma"/>
          <w:lang w:val="pt-BR"/>
        </w:rPr>
        <w:t xml:space="preserve">. </w:t>
      </w:r>
    </w:p>
    <w:p w14:paraId="1D0E6006" w14:textId="747772E0" w:rsidR="00E47EA1" w:rsidRPr="006D7104" w:rsidRDefault="00E47EA1" w:rsidP="00E47EA1">
      <w:pPr>
        <w:rPr>
          <w:rFonts w:ascii="Tahoma" w:hAnsi="Tahoma" w:cs="Tahoma"/>
          <w:b/>
          <w:bCs/>
          <w:color w:val="FF0000"/>
          <w:lang w:val="pt-BR"/>
        </w:rPr>
      </w:pPr>
      <w:r w:rsidRPr="006D7104">
        <w:rPr>
          <w:rFonts w:ascii="Tahoma" w:hAnsi="Tahoma" w:cs="Tahoma"/>
          <w:b/>
          <w:bCs/>
          <w:color w:val="FF0000"/>
          <w:lang w:val="pt-BR"/>
        </w:rPr>
        <w:t>CONTRIBUIÇÃO</w:t>
      </w:r>
    </w:p>
    <w:p w14:paraId="257EE1A7" w14:textId="77777777" w:rsidR="0071497D" w:rsidRPr="006D7104" w:rsidRDefault="0071497D" w:rsidP="00E47EA1">
      <w:pPr>
        <w:rPr>
          <w:rFonts w:ascii="Tahoma" w:hAnsi="Tahoma" w:cs="Tahoma"/>
          <w:lang w:val="pt-BR"/>
        </w:rPr>
      </w:pPr>
    </w:p>
    <w:p w14:paraId="33418C3B" w14:textId="77777777" w:rsidR="00433E54" w:rsidRPr="005C5BEE" w:rsidRDefault="0030398C" w:rsidP="00851EBA">
      <w:pPr>
        <w:jc w:val="both"/>
        <w:rPr>
          <w:rFonts w:ascii="Tahoma" w:hAnsi="Tahoma" w:cs="Tahoma"/>
          <w:lang w:val="pt-BR"/>
        </w:rPr>
      </w:pPr>
      <w:r w:rsidRPr="006D7104">
        <w:rPr>
          <w:rFonts w:ascii="Tahoma" w:hAnsi="Tahoma" w:cs="Tahoma"/>
          <w:lang w:val="pt-BR"/>
        </w:rPr>
        <w:t xml:space="preserve">Considerando que a faixa em questão é utilizada pelas empresas elétricas para serviços de missão crítica, como o monitoramento e controle remotos de subestações para restabelecimento da rede elétrica em situações emergenciais com rapidez e segurança, </w:t>
      </w:r>
      <w:r w:rsidRPr="005C5BEE">
        <w:rPr>
          <w:rFonts w:ascii="Tahoma" w:hAnsi="Tahoma" w:cs="Tahoma"/>
          <w:lang w:val="pt-BR"/>
        </w:rPr>
        <w:t>além da proteção de linhas de transmissão de energia, apenas para citar dois desses serviços, a operação em caráter secundário não atende as necessidades e a segurança operacional demandada. Além destes fatores, o serviço das concessionárias de energia elétrica é regulado pela ANEEL que estabelece um prazo para depreciação dos ativos de telecomunicações de 15 anos, demandando prazo de operação adequado em caráter primário.</w:t>
      </w:r>
      <w:r w:rsidR="00851EBA" w:rsidRPr="005C5BEE">
        <w:rPr>
          <w:rFonts w:ascii="Tahoma" w:hAnsi="Tahoma" w:cs="Tahoma"/>
          <w:lang w:val="pt-BR"/>
        </w:rPr>
        <w:t xml:space="preserve"> </w:t>
      </w:r>
    </w:p>
    <w:p w14:paraId="3FF7D4C7" w14:textId="77777777" w:rsidR="00433E54" w:rsidRPr="005C5BEE" w:rsidRDefault="00433E54" w:rsidP="00851EBA">
      <w:pPr>
        <w:jc w:val="both"/>
        <w:rPr>
          <w:rFonts w:ascii="Tahoma" w:hAnsi="Tahoma" w:cs="Tahoma"/>
          <w:lang w:val="pt-BR"/>
        </w:rPr>
      </w:pPr>
    </w:p>
    <w:p w14:paraId="344D807A" w14:textId="77777777" w:rsidR="00433E54" w:rsidRDefault="00851EBA" w:rsidP="00851EBA">
      <w:pPr>
        <w:jc w:val="both"/>
        <w:rPr>
          <w:rFonts w:ascii="Tahoma" w:hAnsi="Tahoma" w:cs="Tahoma"/>
          <w:lang w:val="pt-BR"/>
        </w:rPr>
      </w:pPr>
      <w:r w:rsidRPr="005C5BEE">
        <w:rPr>
          <w:rFonts w:ascii="Tahoma" w:hAnsi="Tahoma" w:cs="Tahoma"/>
          <w:lang w:val="pt-BR"/>
        </w:rPr>
        <w:t>Face ao exposto acima, e considerando que a alteração da canalização irá necessitar de retrabalho (</w:t>
      </w:r>
      <w:proofErr w:type="spellStart"/>
      <w:r w:rsidRPr="005C5BEE">
        <w:rPr>
          <w:rFonts w:ascii="Tahoma" w:hAnsi="Tahoma" w:cs="Tahoma"/>
          <w:lang w:val="pt-BR"/>
        </w:rPr>
        <w:t>ressintonia</w:t>
      </w:r>
      <w:proofErr w:type="spellEnd"/>
      <w:r w:rsidRPr="005C5BEE">
        <w:rPr>
          <w:rFonts w:ascii="Tahoma" w:hAnsi="Tahoma" w:cs="Tahoma"/>
          <w:lang w:val="pt-BR"/>
        </w:rPr>
        <w:t xml:space="preserve">) na maioria dos rádios instalados e em operação propomos que seja considerado um período de transição entre 3 a 5 anos para que as utilities realizem essa </w:t>
      </w:r>
      <w:proofErr w:type="spellStart"/>
      <w:r w:rsidRPr="005C5BEE">
        <w:rPr>
          <w:rFonts w:ascii="Tahoma" w:hAnsi="Tahoma" w:cs="Tahoma"/>
          <w:lang w:val="pt-BR"/>
        </w:rPr>
        <w:t>ressintonia</w:t>
      </w:r>
      <w:proofErr w:type="spellEnd"/>
      <w:r w:rsidRPr="005C5BEE">
        <w:rPr>
          <w:rFonts w:ascii="Tahoma" w:hAnsi="Tahoma" w:cs="Tahoma"/>
          <w:lang w:val="pt-BR"/>
        </w:rPr>
        <w:t>.</w:t>
      </w:r>
      <w:r>
        <w:rPr>
          <w:rFonts w:ascii="Tahoma" w:hAnsi="Tahoma" w:cs="Tahoma"/>
          <w:lang w:val="pt-BR"/>
        </w:rPr>
        <w:t xml:space="preserve"> </w:t>
      </w:r>
    </w:p>
    <w:p w14:paraId="5BCDBBD1" w14:textId="77777777" w:rsidR="00433E54" w:rsidRDefault="00433E54" w:rsidP="00851EBA">
      <w:pPr>
        <w:jc w:val="both"/>
        <w:rPr>
          <w:rFonts w:ascii="Tahoma" w:hAnsi="Tahoma" w:cs="Tahoma"/>
          <w:lang w:val="pt-BR"/>
        </w:rPr>
      </w:pPr>
    </w:p>
    <w:p w14:paraId="071A2CC4" w14:textId="77777777" w:rsidR="00433E54" w:rsidRDefault="00433E54" w:rsidP="00851EBA">
      <w:pPr>
        <w:jc w:val="both"/>
        <w:rPr>
          <w:rFonts w:ascii="Tahoma" w:hAnsi="Tahoma" w:cs="Tahoma"/>
          <w:lang w:val="pt-BR"/>
        </w:rPr>
      </w:pPr>
    </w:p>
    <w:p w14:paraId="6FF653F8" w14:textId="77777777" w:rsidR="00433E54" w:rsidRDefault="00433E54" w:rsidP="00851EBA">
      <w:pPr>
        <w:jc w:val="both"/>
        <w:rPr>
          <w:rFonts w:ascii="Tahoma" w:hAnsi="Tahoma" w:cs="Tahoma"/>
          <w:lang w:val="pt-BR"/>
        </w:rPr>
      </w:pPr>
    </w:p>
    <w:p w14:paraId="1A1E2253" w14:textId="2C099395" w:rsidR="00DD502F" w:rsidRPr="006D7104" w:rsidRDefault="00851EBA" w:rsidP="00851EBA">
      <w:pPr>
        <w:jc w:val="both"/>
        <w:rPr>
          <w:rFonts w:ascii="Tahoma" w:hAnsi="Tahoma" w:cs="Tahoma"/>
          <w:lang w:val="pt-BR"/>
        </w:rPr>
      </w:pPr>
      <w:r w:rsidRPr="005C5BEE">
        <w:rPr>
          <w:rFonts w:ascii="Tahoma" w:hAnsi="Tahoma" w:cs="Tahoma"/>
          <w:lang w:val="pt-BR"/>
        </w:rPr>
        <w:t xml:space="preserve">Uma proposta alternativa seria </w:t>
      </w:r>
      <w:r w:rsidR="00433E54" w:rsidRPr="005C5BEE">
        <w:rPr>
          <w:rFonts w:ascii="Tahoma" w:hAnsi="Tahoma" w:cs="Tahoma"/>
          <w:lang w:val="pt-BR"/>
        </w:rPr>
        <w:t>atribuir ao</w:t>
      </w:r>
      <w:r w:rsidRPr="005C5BEE">
        <w:rPr>
          <w:rFonts w:ascii="Tahoma" w:hAnsi="Tahoma" w:cs="Tahoma"/>
          <w:lang w:val="pt-BR"/>
        </w:rPr>
        <w:t xml:space="preserve"> vencedor da licitação </w:t>
      </w:r>
      <w:r w:rsidR="00433E54" w:rsidRPr="005C5BEE">
        <w:rPr>
          <w:rFonts w:ascii="Tahoma" w:hAnsi="Tahoma" w:cs="Tahoma"/>
          <w:lang w:val="pt-BR"/>
        </w:rPr>
        <w:t>a obrigação de arcar com os custos necessários para a antecipação da transição</w:t>
      </w:r>
      <w:r w:rsidRPr="005C5BEE">
        <w:rPr>
          <w:rFonts w:ascii="Tahoma" w:hAnsi="Tahoma" w:cs="Tahoma"/>
          <w:lang w:val="pt-BR"/>
        </w:rPr>
        <w:t>.</w:t>
      </w:r>
    </w:p>
    <w:sectPr w:rsidR="00DD502F" w:rsidRPr="006D7104" w:rsidSect="00DD502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085" w:right="1134" w:bottom="1440" w:left="1440" w:header="426" w:footer="720" w:gutter="0"/>
      <w:paperSrc w:first="2" w:other="1"/>
      <w:cols w:space="720" w:equalWidth="0">
        <w:col w:w="9360" w:space="720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4CC44" w14:textId="77777777" w:rsidR="001D7FE4" w:rsidRDefault="001D7FE4" w:rsidP="009530BF">
      <w:r>
        <w:separator/>
      </w:r>
    </w:p>
  </w:endnote>
  <w:endnote w:type="continuationSeparator" w:id="0">
    <w:p w14:paraId="032BF7CB" w14:textId="77777777" w:rsidR="001D7FE4" w:rsidRDefault="001D7FE4" w:rsidP="0095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,Bold">
    <w:altName w:val="Tahoma"/>
    <w:panose1 w:val="00000000000000000000"/>
    <w:charset w:val="00"/>
    <w:family w:val="roman"/>
    <w:notTrueType/>
    <w:pitch w:val="default"/>
  </w:font>
  <w:font w:name="Univers 55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C03A8" w14:textId="77777777" w:rsidR="001E18D6" w:rsidRDefault="0043686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31CF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71520B8" w14:textId="77777777" w:rsidR="001E18D6" w:rsidRDefault="00000000">
    <w:pPr>
      <w:pStyle w:val="Rodap"/>
      <w:ind w:right="360"/>
    </w:pPr>
  </w:p>
  <w:p w14:paraId="209500C5" w14:textId="77777777" w:rsidR="00E85822" w:rsidRDefault="00E8582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F0A9" w14:textId="77777777" w:rsidR="000B2B29" w:rsidRPr="004117ED" w:rsidRDefault="000B2B29" w:rsidP="000B2B29">
    <w:pPr>
      <w:pStyle w:val="Rodap"/>
      <w:ind w:left="-540" w:right="-540"/>
      <w:jc w:val="center"/>
      <w:rPr>
        <w:rFonts w:ascii="Univers 55" w:hAnsi="Univers 55" w:cs="Tahoma"/>
        <w:b/>
        <w:sz w:val="16"/>
        <w:u w:val="thick" w:color="00B050"/>
      </w:rPr>
    </w:pP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  <w:t xml:space="preserve">    ________________________________________________________________________________________________________</w:t>
    </w:r>
  </w:p>
  <w:p w14:paraId="06D662C8" w14:textId="77777777" w:rsidR="000B2B29" w:rsidRDefault="000B2B29" w:rsidP="000B2B29">
    <w:pPr>
      <w:pStyle w:val="Rodap"/>
      <w:ind w:left="-540" w:right="-540"/>
      <w:jc w:val="center"/>
      <w:rPr>
        <w:rFonts w:ascii="Univers 55" w:hAnsi="Univers 55" w:cs="Tahoma"/>
        <w:b/>
        <w:sz w:val="16"/>
      </w:rPr>
    </w:pPr>
    <w:r>
      <w:rPr>
        <w:rFonts w:ascii="Univers 55" w:hAnsi="Univers 55" w:cs="Tahoma"/>
        <w:b/>
        <w:sz w:val="16"/>
      </w:rPr>
      <w:t>ASSOCIAÇÃO UTC AMÉRICA LATINA</w:t>
    </w:r>
  </w:p>
  <w:p w14:paraId="69984EE5" w14:textId="77777777" w:rsidR="000B2B29" w:rsidRPr="006D7104" w:rsidRDefault="000B2B29" w:rsidP="000B2B29">
    <w:pPr>
      <w:jc w:val="center"/>
      <w:rPr>
        <w:rFonts w:ascii="Univers 55" w:hAnsi="Univers 55"/>
        <w:b/>
        <w:i/>
        <w:sz w:val="16"/>
        <w:szCs w:val="16"/>
        <w:lang w:val="pt-BR"/>
      </w:rPr>
    </w:pPr>
    <w:r w:rsidRPr="006D7104">
      <w:rPr>
        <w:rFonts w:ascii="Univers 55" w:hAnsi="Univers 55"/>
        <w:b/>
        <w:i/>
        <w:sz w:val="16"/>
        <w:szCs w:val="16"/>
        <w:lang w:val="pt-BR"/>
      </w:rPr>
      <w:t>A Principal Referência em Soluções e Serviços de Telecom e Tecnologia Operacional para Empresas de Missão Crítica</w:t>
    </w:r>
  </w:p>
  <w:p w14:paraId="1317A8E5" w14:textId="77777777" w:rsidR="000B2B29" w:rsidRDefault="000B2B29" w:rsidP="000B2B29">
    <w:pPr>
      <w:pStyle w:val="Rodap"/>
      <w:ind w:left="-540" w:right="-540"/>
      <w:jc w:val="center"/>
      <w:rPr>
        <w:rFonts w:ascii="Univers 55" w:hAnsi="Univers 55"/>
        <w:b/>
        <w:i/>
        <w:sz w:val="16"/>
        <w:szCs w:val="16"/>
        <w:highlight w:val="yellow"/>
        <w:lang w:val="es-ES"/>
      </w:rPr>
    </w:pPr>
    <w:r>
      <w:rPr>
        <w:rFonts w:ascii="Univers 55" w:hAnsi="Univers 55"/>
        <w:b/>
        <w:i/>
        <w:sz w:val="16"/>
        <w:szCs w:val="16"/>
        <w:lang w:val="es-ES"/>
      </w:rPr>
      <w:t>La Principal Referencia en Soluciones y Servicios para T</w:t>
    </w:r>
    <w:r w:rsidRPr="00870DAE">
      <w:rPr>
        <w:rFonts w:ascii="Univers 55" w:hAnsi="Univers 55"/>
        <w:b/>
        <w:i/>
        <w:sz w:val="16"/>
        <w:szCs w:val="16"/>
        <w:lang w:val="es-ES"/>
      </w:rPr>
      <w:t>elecom y T</w:t>
    </w:r>
    <w:r>
      <w:rPr>
        <w:rFonts w:ascii="Univers 55" w:hAnsi="Univers 55"/>
        <w:b/>
        <w:i/>
        <w:sz w:val="16"/>
        <w:szCs w:val="16"/>
        <w:lang w:val="es-ES"/>
      </w:rPr>
      <w:t>ecnología Operacional</w:t>
    </w:r>
    <w:r w:rsidRPr="00870DAE">
      <w:rPr>
        <w:rFonts w:ascii="Univers 55" w:hAnsi="Univers 55"/>
        <w:b/>
        <w:i/>
        <w:sz w:val="16"/>
        <w:szCs w:val="16"/>
        <w:lang w:val="es-ES"/>
      </w:rPr>
      <w:t xml:space="preserve"> pa</w:t>
    </w:r>
    <w:r>
      <w:rPr>
        <w:rFonts w:ascii="Univers 55" w:hAnsi="Univers 55"/>
        <w:b/>
        <w:i/>
        <w:sz w:val="16"/>
        <w:szCs w:val="16"/>
        <w:lang w:val="es-ES"/>
      </w:rPr>
      <w:t>ra Empresas de Misión Crítica</w:t>
    </w:r>
  </w:p>
  <w:p w14:paraId="0DB71CC8" w14:textId="77777777" w:rsidR="000B2B29" w:rsidRPr="00345C89" w:rsidRDefault="000B2B29" w:rsidP="000B2B29">
    <w:pPr>
      <w:pStyle w:val="Rodap"/>
      <w:ind w:left="-540" w:right="-540"/>
      <w:jc w:val="center"/>
      <w:rPr>
        <w:rFonts w:ascii="Univers 55" w:hAnsi="Univers 55" w:cs="Tahoma"/>
        <w:b/>
        <w:sz w:val="16"/>
      </w:rPr>
    </w:pPr>
    <w:r w:rsidRPr="00345C89">
      <w:rPr>
        <w:rFonts w:ascii="Univers 55" w:hAnsi="Univers 55" w:cs="Tahoma"/>
        <w:sz w:val="16"/>
      </w:rPr>
      <w:t xml:space="preserve">Av. Copacabana 928 </w:t>
    </w:r>
    <w:r>
      <w:rPr>
        <w:rFonts w:ascii="Univers 55" w:hAnsi="Univers 55" w:cs="Tahoma"/>
        <w:sz w:val="16"/>
      </w:rPr>
      <w:t>- C</w:t>
    </w:r>
    <w:r w:rsidRPr="00345C89">
      <w:rPr>
        <w:rFonts w:ascii="Univers 55" w:hAnsi="Univers 55" w:cs="Tahoma"/>
        <w:sz w:val="16"/>
      </w:rPr>
      <w:t>ob</w:t>
    </w:r>
    <w:r>
      <w:rPr>
        <w:rFonts w:ascii="Univers 55" w:hAnsi="Univers 55" w:cs="Tahoma"/>
        <w:sz w:val="16"/>
      </w:rPr>
      <w:t>ertura</w:t>
    </w:r>
    <w:r w:rsidRPr="00345C89">
      <w:rPr>
        <w:rFonts w:ascii="Univers 55" w:hAnsi="Univers 55" w:cs="Tahoma"/>
        <w:sz w:val="16"/>
      </w:rPr>
      <w:t xml:space="preserve"> • Rio de Janeiro, </w:t>
    </w:r>
    <w:r>
      <w:rPr>
        <w:rFonts w:ascii="Univers 55" w:hAnsi="Univers 55" w:cs="Tahoma"/>
        <w:sz w:val="16"/>
      </w:rPr>
      <w:t>22060-002, Brasil • 55(21)21470600</w:t>
    </w:r>
    <w:r w:rsidRPr="00345C89">
      <w:rPr>
        <w:rFonts w:ascii="Univers 55" w:hAnsi="Univers 55" w:cs="Tahoma"/>
        <w:sz w:val="16"/>
      </w:rPr>
      <w:t xml:space="preserve"> • </w:t>
    </w:r>
    <w:r w:rsidRPr="00E477BA">
      <w:rPr>
        <w:rFonts w:ascii="Univers 55" w:hAnsi="Univers 55" w:cs="Tahoma"/>
        <w:sz w:val="16"/>
      </w:rPr>
      <w:t>www.utcamericalatina.org</w:t>
    </w:r>
  </w:p>
  <w:p w14:paraId="44D7D1FD" w14:textId="77777777" w:rsidR="000B2B29" w:rsidRDefault="00000000">
    <w:pPr>
      <w:pStyle w:val="Rodap"/>
      <w:jc w:val="right"/>
    </w:pPr>
    <w:sdt>
      <w:sdtPr>
        <w:id w:val="712859069"/>
        <w:docPartObj>
          <w:docPartGallery w:val="Page Numbers (Bottom of Page)"/>
          <w:docPartUnique/>
        </w:docPartObj>
      </w:sdtPr>
      <w:sdtContent>
        <w:r w:rsidR="000B2B29">
          <w:fldChar w:fldCharType="begin"/>
        </w:r>
        <w:r w:rsidR="000B2B29">
          <w:instrText>PAGE   \* MERGEFORMAT</w:instrText>
        </w:r>
        <w:r w:rsidR="000B2B29">
          <w:fldChar w:fldCharType="separate"/>
        </w:r>
        <w:r w:rsidR="008A7D96">
          <w:rPr>
            <w:noProof/>
          </w:rPr>
          <w:t>2</w:t>
        </w:r>
        <w:r w:rsidR="000B2B29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2963A" w14:textId="77777777" w:rsidR="004117ED" w:rsidRPr="004117ED" w:rsidRDefault="004117ED" w:rsidP="009B7D89">
    <w:pPr>
      <w:pStyle w:val="Rodap"/>
      <w:ind w:left="-540" w:right="-540"/>
      <w:jc w:val="center"/>
      <w:rPr>
        <w:rFonts w:ascii="Univers 55" w:hAnsi="Univers 55" w:cs="Tahoma"/>
        <w:b/>
        <w:sz w:val="16"/>
        <w:u w:val="thick" w:color="00B050"/>
      </w:rPr>
    </w:pP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</w:r>
    <w:r w:rsidRPr="004117ED">
      <w:rPr>
        <w:rFonts w:ascii="Univers 55" w:hAnsi="Univers 55" w:cs="Tahoma"/>
        <w:b/>
        <w:sz w:val="16"/>
        <w:u w:val="thick" w:color="00B050"/>
      </w:rPr>
      <w:softHyphen/>
      <w:t xml:space="preserve">    ________________________________________________________________________________________________________</w:t>
    </w:r>
  </w:p>
  <w:p w14:paraId="398A16C6" w14:textId="77777777" w:rsidR="009B7D89" w:rsidRDefault="00A467D0" w:rsidP="009B7D89">
    <w:pPr>
      <w:pStyle w:val="Rodap"/>
      <w:ind w:left="-540" w:right="-540"/>
      <w:jc w:val="center"/>
      <w:rPr>
        <w:rFonts w:ascii="Univers 55" w:hAnsi="Univers 55" w:cs="Tahoma"/>
        <w:b/>
        <w:sz w:val="16"/>
      </w:rPr>
    </w:pPr>
    <w:r>
      <w:rPr>
        <w:rFonts w:ascii="Univers 55" w:hAnsi="Univers 55" w:cs="Tahoma"/>
        <w:b/>
        <w:sz w:val="16"/>
      </w:rPr>
      <w:t xml:space="preserve">ASSOCIAÇÃO </w:t>
    </w:r>
    <w:r w:rsidR="009B7D89">
      <w:rPr>
        <w:rFonts w:ascii="Univers 55" w:hAnsi="Univers 55" w:cs="Tahoma"/>
        <w:b/>
        <w:sz w:val="16"/>
      </w:rPr>
      <w:t>UTC AM</w:t>
    </w:r>
    <w:r>
      <w:rPr>
        <w:rFonts w:ascii="Univers 55" w:hAnsi="Univers 55" w:cs="Tahoma"/>
        <w:b/>
        <w:sz w:val="16"/>
      </w:rPr>
      <w:t>É</w:t>
    </w:r>
    <w:r w:rsidR="009B7D89">
      <w:rPr>
        <w:rFonts w:ascii="Univers 55" w:hAnsi="Univers 55" w:cs="Tahoma"/>
        <w:b/>
        <w:sz w:val="16"/>
      </w:rPr>
      <w:t>RICA LATINA</w:t>
    </w:r>
  </w:p>
  <w:p w14:paraId="01986C65" w14:textId="77777777" w:rsidR="009B7D89" w:rsidRPr="006D7104" w:rsidRDefault="009B7D89" w:rsidP="009B7D89">
    <w:pPr>
      <w:jc w:val="center"/>
      <w:rPr>
        <w:rFonts w:ascii="Univers 55" w:hAnsi="Univers 55"/>
        <w:b/>
        <w:i/>
        <w:sz w:val="16"/>
        <w:szCs w:val="16"/>
        <w:lang w:val="pt-BR"/>
      </w:rPr>
    </w:pPr>
    <w:r w:rsidRPr="006D7104">
      <w:rPr>
        <w:rFonts w:ascii="Univers 55" w:hAnsi="Univers 55"/>
        <w:b/>
        <w:i/>
        <w:sz w:val="16"/>
        <w:szCs w:val="16"/>
        <w:lang w:val="pt-BR"/>
      </w:rPr>
      <w:t xml:space="preserve">A Principal </w:t>
    </w:r>
    <w:r w:rsidR="00DD502F" w:rsidRPr="006D7104">
      <w:rPr>
        <w:rFonts w:ascii="Univers 55" w:hAnsi="Univers 55"/>
        <w:b/>
        <w:i/>
        <w:sz w:val="16"/>
        <w:szCs w:val="16"/>
        <w:lang w:val="pt-BR"/>
      </w:rPr>
      <w:t>Referência em Soluções</w:t>
    </w:r>
    <w:r w:rsidRPr="006D7104">
      <w:rPr>
        <w:rFonts w:ascii="Univers 55" w:hAnsi="Univers 55"/>
        <w:b/>
        <w:i/>
        <w:sz w:val="16"/>
        <w:szCs w:val="16"/>
        <w:lang w:val="pt-BR"/>
      </w:rPr>
      <w:t xml:space="preserve"> e Serviços de Telecom e T</w:t>
    </w:r>
    <w:r w:rsidR="00DD502F" w:rsidRPr="006D7104">
      <w:rPr>
        <w:rFonts w:ascii="Univers 55" w:hAnsi="Univers 55"/>
        <w:b/>
        <w:i/>
        <w:sz w:val="16"/>
        <w:szCs w:val="16"/>
        <w:lang w:val="pt-BR"/>
      </w:rPr>
      <w:t>ecnologia Operacional</w:t>
    </w:r>
    <w:r w:rsidRPr="006D7104">
      <w:rPr>
        <w:rFonts w:ascii="Univers 55" w:hAnsi="Univers 55"/>
        <w:b/>
        <w:i/>
        <w:sz w:val="16"/>
        <w:szCs w:val="16"/>
        <w:lang w:val="pt-BR"/>
      </w:rPr>
      <w:t xml:space="preserve"> para</w:t>
    </w:r>
    <w:r w:rsidR="00DD502F" w:rsidRPr="006D7104">
      <w:rPr>
        <w:rFonts w:ascii="Univers 55" w:hAnsi="Univers 55"/>
        <w:b/>
        <w:i/>
        <w:sz w:val="16"/>
        <w:szCs w:val="16"/>
        <w:lang w:val="pt-BR"/>
      </w:rPr>
      <w:t xml:space="preserve"> Empresas</w:t>
    </w:r>
    <w:r w:rsidRPr="006D7104">
      <w:rPr>
        <w:rFonts w:ascii="Univers 55" w:hAnsi="Univers 55"/>
        <w:b/>
        <w:i/>
        <w:sz w:val="16"/>
        <w:szCs w:val="16"/>
        <w:lang w:val="pt-BR"/>
      </w:rPr>
      <w:t xml:space="preserve"> de Missão Crítica</w:t>
    </w:r>
  </w:p>
  <w:p w14:paraId="4F831696" w14:textId="77777777" w:rsidR="009B7D89" w:rsidRDefault="009B7D89" w:rsidP="009B7D89">
    <w:pPr>
      <w:pStyle w:val="Rodap"/>
      <w:ind w:left="-540" w:right="-540"/>
      <w:jc w:val="center"/>
      <w:rPr>
        <w:rFonts w:ascii="Univers 55" w:hAnsi="Univers 55"/>
        <w:b/>
        <w:i/>
        <w:sz w:val="16"/>
        <w:szCs w:val="16"/>
        <w:highlight w:val="yellow"/>
        <w:lang w:val="es-ES"/>
      </w:rPr>
    </w:pPr>
    <w:r>
      <w:rPr>
        <w:rFonts w:ascii="Univers 55" w:hAnsi="Univers 55"/>
        <w:b/>
        <w:i/>
        <w:sz w:val="16"/>
        <w:szCs w:val="16"/>
        <w:lang w:val="es-ES"/>
      </w:rPr>
      <w:t xml:space="preserve">La </w:t>
    </w:r>
    <w:r w:rsidR="00DD502F">
      <w:rPr>
        <w:rFonts w:ascii="Univers 55" w:hAnsi="Univers 55"/>
        <w:b/>
        <w:i/>
        <w:sz w:val="16"/>
        <w:szCs w:val="16"/>
        <w:lang w:val="es-ES"/>
      </w:rPr>
      <w:t>P</w:t>
    </w:r>
    <w:r>
      <w:rPr>
        <w:rFonts w:ascii="Univers 55" w:hAnsi="Univers 55"/>
        <w:b/>
        <w:i/>
        <w:sz w:val="16"/>
        <w:szCs w:val="16"/>
        <w:lang w:val="es-ES"/>
      </w:rPr>
      <w:t xml:space="preserve">rincipal </w:t>
    </w:r>
    <w:r w:rsidR="00DD502F">
      <w:rPr>
        <w:rFonts w:ascii="Univers 55" w:hAnsi="Univers 55"/>
        <w:b/>
        <w:i/>
        <w:sz w:val="16"/>
        <w:szCs w:val="16"/>
        <w:lang w:val="es-ES"/>
      </w:rPr>
      <w:t>Referencia en Soluciones</w:t>
    </w:r>
    <w:r>
      <w:rPr>
        <w:rFonts w:ascii="Univers 55" w:hAnsi="Univers 55"/>
        <w:b/>
        <w:i/>
        <w:sz w:val="16"/>
        <w:szCs w:val="16"/>
        <w:lang w:val="es-ES"/>
      </w:rPr>
      <w:t xml:space="preserve"> y Servicios para T</w:t>
    </w:r>
    <w:r w:rsidRPr="00870DAE">
      <w:rPr>
        <w:rFonts w:ascii="Univers 55" w:hAnsi="Univers 55"/>
        <w:b/>
        <w:i/>
        <w:sz w:val="16"/>
        <w:szCs w:val="16"/>
        <w:lang w:val="es-ES"/>
      </w:rPr>
      <w:t>elecom y T</w:t>
    </w:r>
    <w:r w:rsidR="00DD502F">
      <w:rPr>
        <w:rFonts w:ascii="Univers 55" w:hAnsi="Univers 55"/>
        <w:b/>
        <w:i/>
        <w:sz w:val="16"/>
        <w:szCs w:val="16"/>
        <w:lang w:val="es-ES"/>
      </w:rPr>
      <w:t>ecnología Operacional</w:t>
    </w:r>
    <w:r w:rsidRPr="00870DAE">
      <w:rPr>
        <w:rFonts w:ascii="Univers 55" w:hAnsi="Univers 55"/>
        <w:b/>
        <w:i/>
        <w:sz w:val="16"/>
        <w:szCs w:val="16"/>
        <w:lang w:val="es-ES"/>
      </w:rPr>
      <w:t xml:space="preserve"> pa</w:t>
    </w:r>
    <w:r>
      <w:rPr>
        <w:rFonts w:ascii="Univers 55" w:hAnsi="Univers 55"/>
        <w:b/>
        <w:i/>
        <w:sz w:val="16"/>
        <w:szCs w:val="16"/>
        <w:lang w:val="es-ES"/>
      </w:rPr>
      <w:t xml:space="preserve">ra </w:t>
    </w:r>
    <w:r w:rsidR="00DD502F">
      <w:rPr>
        <w:rFonts w:ascii="Univers 55" w:hAnsi="Univers 55"/>
        <w:b/>
        <w:i/>
        <w:sz w:val="16"/>
        <w:szCs w:val="16"/>
        <w:lang w:val="es-ES"/>
      </w:rPr>
      <w:t>Empresas</w:t>
    </w:r>
    <w:r>
      <w:rPr>
        <w:rFonts w:ascii="Univers 55" w:hAnsi="Univers 55"/>
        <w:b/>
        <w:i/>
        <w:sz w:val="16"/>
        <w:szCs w:val="16"/>
        <w:lang w:val="es-ES"/>
      </w:rPr>
      <w:t xml:space="preserve"> de Misión C</w:t>
    </w:r>
    <w:r w:rsidR="00DD502F">
      <w:rPr>
        <w:rFonts w:ascii="Univers 55" w:hAnsi="Univers 55"/>
        <w:b/>
        <w:i/>
        <w:sz w:val="16"/>
        <w:szCs w:val="16"/>
        <w:lang w:val="es-ES"/>
      </w:rPr>
      <w:t>rítica</w:t>
    </w:r>
  </w:p>
  <w:p w14:paraId="730665A9" w14:textId="77777777" w:rsidR="009530BF" w:rsidRPr="009B7D89" w:rsidRDefault="009B7D89" w:rsidP="009B7D89">
    <w:pPr>
      <w:pStyle w:val="Rodap"/>
      <w:ind w:left="-540" w:right="-540"/>
      <w:jc w:val="center"/>
      <w:rPr>
        <w:rFonts w:ascii="Univers 55" w:hAnsi="Univers 55" w:cs="Tahoma"/>
        <w:b/>
        <w:sz w:val="16"/>
      </w:rPr>
    </w:pPr>
    <w:r w:rsidRPr="00345C89">
      <w:rPr>
        <w:rFonts w:ascii="Univers 55" w:hAnsi="Univers 55" w:cs="Tahoma"/>
        <w:sz w:val="16"/>
      </w:rPr>
      <w:t xml:space="preserve">Av. Copacabana 928 </w:t>
    </w:r>
    <w:r w:rsidR="00DD502F">
      <w:rPr>
        <w:rFonts w:ascii="Univers 55" w:hAnsi="Univers 55" w:cs="Tahoma"/>
        <w:sz w:val="16"/>
      </w:rPr>
      <w:t xml:space="preserve">- </w:t>
    </w:r>
    <w:r w:rsidR="00171550">
      <w:rPr>
        <w:rFonts w:ascii="Univers 55" w:hAnsi="Univers 55" w:cs="Tahoma"/>
        <w:sz w:val="16"/>
      </w:rPr>
      <w:t>C</w:t>
    </w:r>
    <w:r w:rsidRPr="00345C89">
      <w:rPr>
        <w:rFonts w:ascii="Univers 55" w:hAnsi="Univers 55" w:cs="Tahoma"/>
        <w:sz w:val="16"/>
      </w:rPr>
      <w:t>ob</w:t>
    </w:r>
    <w:r w:rsidR="00DD502F">
      <w:rPr>
        <w:rFonts w:ascii="Univers 55" w:hAnsi="Univers 55" w:cs="Tahoma"/>
        <w:sz w:val="16"/>
      </w:rPr>
      <w:t>ertura</w:t>
    </w:r>
    <w:r w:rsidRPr="00345C89">
      <w:rPr>
        <w:rFonts w:ascii="Univers 55" w:hAnsi="Univers 55" w:cs="Tahoma"/>
        <w:sz w:val="16"/>
      </w:rPr>
      <w:t xml:space="preserve"> • Rio de Janeiro, </w:t>
    </w:r>
    <w:r>
      <w:rPr>
        <w:rFonts w:ascii="Univers 55" w:hAnsi="Univers 55" w:cs="Tahoma"/>
        <w:sz w:val="16"/>
      </w:rPr>
      <w:t>22060-002, Brasil • 55</w:t>
    </w:r>
    <w:r w:rsidR="00DD502F">
      <w:rPr>
        <w:rFonts w:ascii="Univers 55" w:hAnsi="Univers 55" w:cs="Tahoma"/>
        <w:sz w:val="16"/>
      </w:rPr>
      <w:t>(</w:t>
    </w:r>
    <w:r>
      <w:rPr>
        <w:rFonts w:ascii="Univers 55" w:hAnsi="Univers 55" w:cs="Tahoma"/>
        <w:sz w:val="16"/>
      </w:rPr>
      <w:t>21</w:t>
    </w:r>
    <w:r w:rsidR="00DD502F">
      <w:rPr>
        <w:rFonts w:ascii="Univers 55" w:hAnsi="Univers 55" w:cs="Tahoma"/>
        <w:sz w:val="16"/>
      </w:rPr>
      <w:t>)</w:t>
    </w:r>
    <w:r>
      <w:rPr>
        <w:rFonts w:ascii="Univers 55" w:hAnsi="Univers 55" w:cs="Tahoma"/>
        <w:sz w:val="16"/>
      </w:rPr>
      <w:t>21470600</w:t>
    </w:r>
    <w:r w:rsidRPr="00345C89">
      <w:rPr>
        <w:rFonts w:ascii="Univers 55" w:hAnsi="Univers 55" w:cs="Tahoma"/>
        <w:sz w:val="16"/>
      </w:rPr>
      <w:t xml:space="preserve"> • </w:t>
    </w:r>
    <w:r w:rsidRPr="00E477BA">
      <w:rPr>
        <w:rFonts w:ascii="Univers 55" w:hAnsi="Univers 55" w:cs="Tahoma"/>
        <w:sz w:val="16"/>
      </w:rPr>
      <w:t>www.utc</w:t>
    </w:r>
    <w:r w:rsidR="004117ED" w:rsidRPr="00E477BA">
      <w:rPr>
        <w:rFonts w:ascii="Univers 55" w:hAnsi="Univers 55" w:cs="Tahoma"/>
        <w:sz w:val="16"/>
      </w:rPr>
      <w:t>americalatina</w:t>
    </w:r>
    <w:r w:rsidRPr="00E477BA">
      <w:rPr>
        <w:rFonts w:ascii="Univers 55" w:hAnsi="Univers 55" w:cs="Tahoma"/>
        <w:sz w:val="16"/>
      </w:rPr>
      <w:t>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6E27" w14:textId="77777777" w:rsidR="001D7FE4" w:rsidRDefault="001D7FE4" w:rsidP="009530BF">
      <w:r>
        <w:separator/>
      </w:r>
    </w:p>
  </w:footnote>
  <w:footnote w:type="continuationSeparator" w:id="0">
    <w:p w14:paraId="49E953EC" w14:textId="77777777" w:rsidR="001D7FE4" w:rsidRDefault="001D7FE4" w:rsidP="00953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B19C2" w14:textId="77777777" w:rsidR="001E18D6" w:rsidRDefault="00A010A1" w:rsidP="000B2B29">
    <w:pPr>
      <w:pStyle w:val="Cabealho"/>
      <w:tabs>
        <w:tab w:val="clear" w:pos="8640"/>
        <w:tab w:val="left" w:pos="5610"/>
      </w:tabs>
    </w:pPr>
    <w:r>
      <w:rPr>
        <w:noProof/>
        <w:lang w:eastAsia="pt-BR"/>
      </w:rPr>
      <w:drawing>
        <wp:inline distT="0" distB="0" distL="0" distR="0" wp14:anchorId="18AF3CB8" wp14:editId="15B91F36">
          <wp:extent cx="1965600" cy="525600"/>
          <wp:effectExtent l="0" t="0" r="0" b="825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Nova-UTC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600" cy="52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B2B29">
      <w:tab/>
    </w:r>
  </w:p>
  <w:p w14:paraId="3D77F314" w14:textId="77777777" w:rsidR="001E18D6" w:rsidRDefault="00000000">
    <w:pPr>
      <w:pStyle w:val="Cabealho"/>
    </w:pPr>
  </w:p>
  <w:p w14:paraId="3DB52AAC" w14:textId="77777777" w:rsidR="00E85822" w:rsidRDefault="00E8582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6E89" w14:textId="77777777" w:rsidR="00BD43AC" w:rsidRDefault="00A010A1" w:rsidP="00F86444">
    <w:pPr>
      <w:pStyle w:val="Cabealho"/>
      <w:tabs>
        <w:tab w:val="clear" w:pos="4320"/>
        <w:tab w:val="clear" w:pos="8640"/>
        <w:tab w:val="center" w:pos="4140"/>
        <w:tab w:val="left" w:pos="7740"/>
      </w:tabs>
    </w:pPr>
    <w:r>
      <w:rPr>
        <w:noProof/>
        <w:lang w:eastAsia="pt-BR"/>
      </w:rPr>
      <w:drawing>
        <wp:inline distT="0" distB="0" distL="0" distR="0" wp14:anchorId="79EF0F37" wp14:editId="63279E73">
          <wp:extent cx="1965600" cy="525600"/>
          <wp:effectExtent l="0" t="0" r="0" b="825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Nova-UTC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600" cy="52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D353A2" w14:textId="77777777" w:rsidR="00EC0B4C" w:rsidRDefault="0000000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95717"/>
    <w:multiLevelType w:val="hybridMultilevel"/>
    <w:tmpl w:val="993E7088"/>
    <w:lvl w:ilvl="0" w:tplc="A2BCA5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49472F"/>
    <w:multiLevelType w:val="multilevel"/>
    <w:tmpl w:val="16E24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951012792">
    <w:abstractNumId w:val="1"/>
  </w:num>
  <w:num w:numId="2" w16cid:durableId="105076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AC"/>
    <w:rsid w:val="000242A6"/>
    <w:rsid w:val="000337F6"/>
    <w:rsid w:val="000573FD"/>
    <w:rsid w:val="000661B2"/>
    <w:rsid w:val="00073667"/>
    <w:rsid w:val="000854E6"/>
    <w:rsid w:val="000B15A8"/>
    <w:rsid w:val="000B2B29"/>
    <w:rsid w:val="000C68D5"/>
    <w:rsid w:val="000D3888"/>
    <w:rsid w:val="000E1F98"/>
    <w:rsid w:val="000F7754"/>
    <w:rsid w:val="001107E5"/>
    <w:rsid w:val="00161E8A"/>
    <w:rsid w:val="00171550"/>
    <w:rsid w:val="001763FC"/>
    <w:rsid w:val="0019213A"/>
    <w:rsid w:val="001B41B7"/>
    <w:rsid w:val="001D7FE4"/>
    <w:rsid w:val="002143CF"/>
    <w:rsid w:val="00233856"/>
    <w:rsid w:val="002378FA"/>
    <w:rsid w:val="00256F22"/>
    <w:rsid w:val="00290478"/>
    <w:rsid w:val="002B1C2B"/>
    <w:rsid w:val="002B2A53"/>
    <w:rsid w:val="002D75D1"/>
    <w:rsid w:val="002E7D48"/>
    <w:rsid w:val="002F1683"/>
    <w:rsid w:val="0030398C"/>
    <w:rsid w:val="003148F5"/>
    <w:rsid w:val="00375E57"/>
    <w:rsid w:val="003C47BA"/>
    <w:rsid w:val="003C66AD"/>
    <w:rsid w:val="003F4210"/>
    <w:rsid w:val="004117ED"/>
    <w:rsid w:val="00433E54"/>
    <w:rsid w:val="00436867"/>
    <w:rsid w:val="00534846"/>
    <w:rsid w:val="005478E2"/>
    <w:rsid w:val="005504BF"/>
    <w:rsid w:val="005C5BEE"/>
    <w:rsid w:val="005E7994"/>
    <w:rsid w:val="00626E35"/>
    <w:rsid w:val="00631CF3"/>
    <w:rsid w:val="00644DCE"/>
    <w:rsid w:val="006919BB"/>
    <w:rsid w:val="006B7FB5"/>
    <w:rsid w:val="006D7104"/>
    <w:rsid w:val="006E608A"/>
    <w:rsid w:val="0071497D"/>
    <w:rsid w:val="007367CD"/>
    <w:rsid w:val="00771F22"/>
    <w:rsid w:val="00782393"/>
    <w:rsid w:val="007E5D35"/>
    <w:rsid w:val="00851EBA"/>
    <w:rsid w:val="008560AC"/>
    <w:rsid w:val="00863F6A"/>
    <w:rsid w:val="0087703D"/>
    <w:rsid w:val="008A2A7F"/>
    <w:rsid w:val="008A635E"/>
    <w:rsid w:val="008A7D96"/>
    <w:rsid w:val="008B7A94"/>
    <w:rsid w:val="008D5CBB"/>
    <w:rsid w:val="008E6977"/>
    <w:rsid w:val="00906EBB"/>
    <w:rsid w:val="009329EA"/>
    <w:rsid w:val="009411CD"/>
    <w:rsid w:val="009530BF"/>
    <w:rsid w:val="009A3A07"/>
    <w:rsid w:val="009B7D89"/>
    <w:rsid w:val="009E233B"/>
    <w:rsid w:val="00A010A1"/>
    <w:rsid w:val="00A01F77"/>
    <w:rsid w:val="00A467D0"/>
    <w:rsid w:val="00AC2632"/>
    <w:rsid w:val="00AD322C"/>
    <w:rsid w:val="00AD4F5B"/>
    <w:rsid w:val="00B00A49"/>
    <w:rsid w:val="00B15542"/>
    <w:rsid w:val="00B37D24"/>
    <w:rsid w:val="00BE2A8E"/>
    <w:rsid w:val="00C01535"/>
    <w:rsid w:val="00C07632"/>
    <w:rsid w:val="00C3442C"/>
    <w:rsid w:val="00C45B0A"/>
    <w:rsid w:val="00C77F6A"/>
    <w:rsid w:val="00C84689"/>
    <w:rsid w:val="00C9412C"/>
    <w:rsid w:val="00CA6804"/>
    <w:rsid w:val="00CC7C74"/>
    <w:rsid w:val="00CF35E7"/>
    <w:rsid w:val="00D15C40"/>
    <w:rsid w:val="00D27101"/>
    <w:rsid w:val="00D62BE4"/>
    <w:rsid w:val="00DA0380"/>
    <w:rsid w:val="00DB0475"/>
    <w:rsid w:val="00DD502F"/>
    <w:rsid w:val="00E07C90"/>
    <w:rsid w:val="00E25E1F"/>
    <w:rsid w:val="00E43AC1"/>
    <w:rsid w:val="00E477BA"/>
    <w:rsid w:val="00E47EA1"/>
    <w:rsid w:val="00E621BC"/>
    <w:rsid w:val="00E778A2"/>
    <w:rsid w:val="00E85822"/>
    <w:rsid w:val="00EE1942"/>
    <w:rsid w:val="00EF3B3C"/>
    <w:rsid w:val="00F86444"/>
    <w:rsid w:val="00FA050D"/>
    <w:rsid w:val="00FA7ECE"/>
    <w:rsid w:val="00FC6A95"/>
    <w:rsid w:val="00FC7721"/>
    <w:rsid w:val="00FE5F6C"/>
    <w:rsid w:val="00FF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ED4FB"/>
  <w15:docId w15:val="{85B8BCCC-E82F-4011-956D-47FE7BC1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98C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F86444"/>
    <w:pPr>
      <w:keepNext/>
      <w:ind w:right="-540"/>
      <w:jc w:val="right"/>
      <w:outlineLvl w:val="2"/>
    </w:pPr>
    <w:rPr>
      <w:rFonts w:ascii="Tahoma" w:hAnsi="Tahoma"/>
      <w:b/>
      <w:sz w:val="16"/>
      <w:szCs w:val="20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560AC"/>
    <w:pPr>
      <w:tabs>
        <w:tab w:val="center" w:pos="4320"/>
        <w:tab w:val="right" w:pos="8640"/>
      </w:tabs>
    </w:pPr>
    <w:rPr>
      <w:rFonts w:ascii="Verdana" w:hAnsi="Verdana"/>
      <w:sz w:val="20"/>
      <w:szCs w:val="20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8560AC"/>
    <w:rPr>
      <w:rFonts w:ascii="Verdana" w:eastAsia="Times New Roman" w:hAnsi="Verdana" w:cs="Times New Roman"/>
      <w:sz w:val="20"/>
      <w:szCs w:val="20"/>
      <w:lang w:val="pt-BR"/>
    </w:rPr>
  </w:style>
  <w:style w:type="paragraph" w:styleId="Cabealho">
    <w:name w:val="header"/>
    <w:basedOn w:val="Normal"/>
    <w:link w:val="CabealhoChar"/>
    <w:uiPriority w:val="99"/>
    <w:rsid w:val="008560AC"/>
    <w:pPr>
      <w:tabs>
        <w:tab w:val="center" w:pos="4320"/>
        <w:tab w:val="right" w:pos="8640"/>
      </w:tabs>
    </w:pPr>
    <w:rPr>
      <w:rFonts w:ascii="Verdana" w:hAnsi="Verdana"/>
      <w:sz w:val="20"/>
      <w:szCs w:val="20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8560AC"/>
    <w:rPr>
      <w:rFonts w:ascii="Verdana" w:eastAsia="Times New Roman" w:hAnsi="Verdana" w:cs="Times New Roman"/>
      <w:sz w:val="20"/>
      <w:szCs w:val="20"/>
      <w:lang w:val="pt-BR"/>
    </w:rPr>
  </w:style>
  <w:style w:type="character" w:styleId="Hyperlink">
    <w:name w:val="Hyperlink"/>
    <w:rsid w:val="008560AC"/>
    <w:rPr>
      <w:color w:val="0000FF"/>
      <w:u w:val="single"/>
    </w:rPr>
  </w:style>
  <w:style w:type="character" w:styleId="Nmerodepgina">
    <w:name w:val="page number"/>
    <w:basedOn w:val="Fontepargpadro"/>
    <w:rsid w:val="008560AC"/>
  </w:style>
  <w:style w:type="paragraph" w:styleId="TextosemFormatao">
    <w:name w:val="Plain Text"/>
    <w:basedOn w:val="Normal"/>
    <w:link w:val="TextosemFormataoChar"/>
    <w:uiPriority w:val="99"/>
    <w:unhideWhenUsed/>
    <w:rsid w:val="008560AC"/>
    <w:rPr>
      <w:rFonts w:ascii="Consolas" w:eastAsia="Calibri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560AC"/>
    <w:rPr>
      <w:rFonts w:ascii="Consolas" w:eastAsia="Calibri" w:hAnsi="Consolas" w:cs="Times New Roman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30BF"/>
    <w:rPr>
      <w:rFonts w:ascii="Tahoma" w:hAnsi="Tahoma" w:cs="Tahoma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30BF"/>
    <w:rPr>
      <w:rFonts w:ascii="Tahoma" w:eastAsia="Times New Roman" w:hAnsi="Tahoma" w:cs="Tahoma"/>
      <w:sz w:val="16"/>
      <w:szCs w:val="16"/>
      <w:lang w:val="pt-BR"/>
    </w:rPr>
  </w:style>
  <w:style w:type="character" w:customStyle="1" w:styleId="Ttulo3Char">
    <w:name w:val="Título 3 Char"/>
    <w:basedOn w:val="Fontepargpadro"/>
    <w:link w:val="Ttulo3"/>
    <w:rsid w:val="00F86444"/>
    <w:rPr>
      <w:rFonts w:ascii="Tahoma" w:eastAsia="Times New Roman" w:hAnsi="Tahoma" w:cs="Times New Roman"/>
      <w:b/>
      <w:sz w:val="16"/>
      <w:szCs w:val="20"/>
      <w:lang w:val="pt-BR"/>
    </w:rPr>
  </w:style>
  <w:style w:type="paragraph" w:styleId="PargrafodaLista">
    <w:name w:val="List Paragraph"/>
    <w:basedOn w:val="Normal"/>
    <w:uiPriority w:val="34"/>
    <w:qFormat/>
    <w:rsid w:val="00E477BA"/>
    <w:pPr>
      <w:ind w:left="720"/>
      <w:contextualSpacing/>
    </w:pPr>
    <w:rPr>
      <w:rFonts w:ascii="Verdana" w:hAnsi="Verdana"/>
      <w:sz w:val="20"/>
      <w:szCs w:val="20"/>
      <w:lang w:val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B2B29"/>
    <w:rPr>
      <w:rFonts w:ascii="Verdana" w:hAnsi="Verdana"/>
      <w:sz w:val="20"/>
      <w:szCs w:val="20"/>
      <w:lang w:val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B2B29"/>
    <w:rPr>
      <w:rFonts w:ascii="Verdana" w:eastAsia="Times New Roman" w:hAnsi="Verdana" w:cs="Times New Roman"/>
      <w:sz w:val="20"/>
      <w:szCs w:val="20"/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0B2B2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846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4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86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7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5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1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4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03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5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C9FD6-6EC2-4445-93EF-E23D7835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702</Words>
  <Characters>3796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Dymitr</dc:creator>
  <cp:lastModifiedBy>UTC América Latina</cp:lastModifiedBy>
  <cp:revision>11</cp:revision>
  <dcterms:created xsi:type="dcterms:W3CDTF">2019-06-07T19:52:00Z</dcterms:created>
  <dcterms:modified xsi:type="dcterms:W3CDTF">2022-08-17T18:47:00Z</dcterms:modified>
</cp:coreProperties>
</file>